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F155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Content>
        <w:p w14:paraId="4952201E" w14:textId="77777777" w:rsidR="009B6F95" w:rsidRPr="00C803F3" w:rsidRDefault="00B36E45" w:rsidP="009B6F95">
          <w:pPr>
            <w:pStyle w:val="Title1"/>
          </w:pPr>
          <w:r>
            <w:t>Waste and Recycling Policy</w:t>
          </w:r>
        </w:p>
      </w:sdtContent>
    </w:sdt>
    <w:bookmarkEnd w:id="0" w:displacedByCustomXml="prev"/>
    <w:p w14:paraId="6EA6E840"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Content>
        <w:p w14:paraId="1428D8C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7E116278" w14:textId="77777777" w:rsidR="00795C95" w:rsidRDefault="00B36E45" w:rsidP="00B84F31">
          <w:pPr>
            <w:ind w:left="0" w:firstLine="0"/>
            <w:rPr>
              <w:rStyle w:val="Title3Char"/>
            </w:rPr>
          </w:pPr>
          <w:r>
            <w:rPr>
              <w:rStyle w:val="Title3Char"/>
            </w:rPr>
            <w:t>For direction.</w:t>
          </w:r>
        </w:p>
      </w:sdtContent>
    </w:sdt>
    <w:sdt>
      <w:sdtPr>
        <w:rPr>
          <w:rStyle w:val="Style6"/>
        </w:rPr>
        <w:id w:val="911819474"/>
        <w:lock w:val="sdtLocked"/>
        <w:placeholder>
          <w:docPart w:val="8E8D39C8ADA945B28543A4203DDCD7D0"/>
        </w:placeholder>
      </w:sdtPr>
      <w:sdtContent>
        <w:p w14:paraId="7BFB926C" w14:textId="77777777" w:rsidR="00B36E45" w:rsidRDefault="00B36E45" w:rsidP="00B84F31">
          <w:pPr>
            <w:ind w:left="0" w:firstLine="0"/>
            <w:rPr>
              <w:rStyle w:val="Style6"/>
            </w:rPr>
          </w:pPr>
        </w:p>
        <w:p w14:paraId="7D2D2ABF" w14:textId="77777777" w:rsidR="009B6F95" w:rsidRPr="00A627DD" w:rsidRDefault="009B6F95" w:rsidP="00B84F31">
          <w:pPr>
            <w:ind w:left="0" w:firstLine="0"/>
          </w:pPr>
          <w:r w:rsidRPr="00C803F3">
            <w:rPr>
              <w:rStyle w:val="Style6"/>
            </w:rPr>
            <w:t>Summary</w:t>
          </w:r>
        </w:p>
      </w:sdtContent>
    </w:sdt>
    <w:p w14:paraId="48CDE8C8" w14:textId="14395858" w:rsidR="009B6F95" w:rsidRDefault="00A13FB1" w:rsidP="001D545D">
      <w:pPr>
        <w:pStyle w:val="Title3"/>
        <w:ind w:left="0" w:firstLine="0"/>
      </w:pPr>
      <w:r>
        <w:t>The report recognises and</w:t>
      </w:r>
      <w:r w:rsidR="00AC006E">
        <w:t xml:space="preserve"> </w:t>
      </w:r>
      <w:r w:rsidR="001A4057">
        <w:t>builds on previous work undertaken by the Board in recogni</w:t>
      </w:r>
      <w:r>
        <w:t>tion that the</w:t>
      </w:r>
      <w:r w:rsidR="00AC006E">
        <w:t xml:space="preserve"> </w:t>
      </w:r>
      <w:r w:rsidR="00AC006E">
        <w:rPr>
          <w:rFonts w:cs="Arial"/>
        </w:rPr>
        <w:t xml:space="preserve">LGA </w:t>
      </w:r>
      <w:r w:rsidR="001A4057">
        <w:rPr>
          <w:rFonts w:cs="Arial"/>
        </w:rPr>
        <w:t xml:space="preserve">has a role </w:t>
      </w:r>
      <w:r w:rsidR="001F35F9">
        <w:rPr>
          <w:rFonts w:cs="Arial"/>
        </w:rPr>
        <w:t>in working</w:t>
      </w:r>
      <w:r w:rsidR="00AC006E">
        <w:rPr>
          <w:rFonts w:cs="Arial"/>
        </w:rPr>
        <w:t xml:space="preserve"> with councils, government and the wider sector to set the agenda for waste and recycling policy in the future. </w:t>
      </w:r>
      <w:r w:rsidR="001A4057">
        <w:rPr>
          <w:rFonts w:cs="Arial"/>
        </w:rPr>
        <w:t xml:space="preserve">This is particularly timely as we anticipate the Department for Environment, Farming and Rural Affairs’ (DEFRA) 25 year environmental strategy and an accompanying waste </w:t>
      </w:r>
      <w:r>
        <w:rPr>
          <w:rFonts w:cs="Arial"/>
        </w:rPr>
        <w:t>and resource strategy in the New Y</w:t>
      </w:r>
      <w:r w:rsidR="001A4057">
        <w:rPr>
          <w:rFonts w:cs="Arial"/>
        </w:rPr>
        <w:t xml:space="preserve">ear. The paper also recognises the significant influence that EU legislation has on waste policy in the UK and the importance of preparing for UK exit from the EU. </w:t>
      </w:r>
      <w:r w:rsidR="00AC006E">
        <w:rPr>
          <w:rFonts w:cs="Arial"/>
        </w:rPr>
        <w:t>The Board session will provide Members with the opportunity to speak to som</w:t>
      </w:r>
      <w:r w:rsidR="001D545D">
        <w:rPr>
          <w:rFonts w:cs="Arial"/>
        </w:rPr>
        <w:t>e experts about different methods for measuring waste and recycling in the future.</w:t>
      </w:r>
      <w:r w:rsidR="00A242F2">
        <w:rPr>
          <w:rFonts w:cs="Arial"/>
        </w:rPr>
        <w:t xml:space="preserve"> The report also contains an update on some key issues </w:t>
      </w:r>
      <w:r w:rsidR="003E48F3">
        <w:rPr>
          <w:rFonts w:cs="Arial"/>
        </w:rPr>
        <w:t xml:space="preserve">identified by </w:t>
      </w:r>
      <w:r w:rsidR="00A242F2">
        <w:rPr>
          <w:rFonts w:cs="Arial"/>
        </w:rPr>
        <w:t>members</w:t>
      </w:r>
      <w:r w:rsidR="003E48F3">
        <w:rPr>
          <w:rFonts w:cs="Arial"/>
        </w:rPr>
        <w:t>.</w:t>
      </w:r>
    </w:p>
    <w:p w14:paraId="1E68233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36C074F" wp14:editId="12615B76">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6CBBF" w14:textId="77777777" w:rsidR="009125B9" w:rsidRDefault="009125B9"/>
                          <w:sdt>
                            <w:sdtPr>
                              <w:rPr>
                                <w:rStyle w:val="Style6"/>
                              </w:rPr>
                              <w:alias w:val="Recommendations"/>
                              <w:tag w:val="Recommendations"/>
                              <w:id w:val="-1634171231"/>
                              <w:placeholder>
                                <w:docPart w:val="6A9E8857DB8647FABF64567742B78AD3"/>
                              </w:placeholder>
                            </w:sdtPr>
                            <w:sdtContent>
                              <w:p w14:paraId="7E1332D4" w14:textId="17D5B617" w:rsidR="009125B9" w:rsidRPr="00A627DD" w:rsidRDefault="009125B9" w:rsidP="00B84F31">
                                <w:pPr>
                                  <w:ind w:left="0" w:firstLine="0"/>
                                </w:pPr>
                                <w:r>
                                  <w:rPr>
                                    <w:rStyle w:val="Style6"/>
                                  </w:rPr>
                                  <w:t>Recommendation</w:t>
                                </w:r>
                              </w:p>
                            </w:sdtContent>
                          </w:sdt>
                          <w:p w14:paraId="4191E40E" w14:textId="58B84309" w:rsidR="009125B9" w:rsidRPr="00B84F31" w:rsidRDefault="009125B9" w:rsidP="001F35F9">
                            <w:pPr>
                              <w:spacing w:after="0" w:line="240" w:lineRule="auto"/>
                              <w:ind w:left="0" w:firstLine="0"/>
                            </w:pPr>
                            <w:r>
                              <w:rPr>
                                <w:rFonts w:cs="Arial"/>
                              </w:rPr>
                              <w:t>Environment, Economy, Housing and Transport Board m</w:t>
                            </w:r>
                            <w:r w:rsidRPr="00D90288">
                              <w:rPr>
                                <w:rFonts w:cs="Arial"/>
                              </w:rPr>
                              <w:t>embers are asked to give direction as the</w:t>
                            </w:r>
                            <w:r w:rsidRPr="00357A7D">
                              <w:rPr>
                                <w:rFonts w:cs="Arial"/>
                              </w:rPr>
                              <w:t xml:space="preserve"> LGA engag</w:t>
                            </w:r>
                            <w:r w:rsidRPr="00FE6C7E">
                              <w:rPr>
                                <w:rFonts w:cs="Arial"/>
                              </w:rPr>
                              <w:t>es with government on future waste policy</w:t>
                            </w:r>
                            <w:r>
                              <w:rPr>
                                <w:rFonts w:cs="Arial"/>
                              </w:rPr>
                              <w:t>.</w:t>
                            </w:r>
                            <w:r w:rsidRPr="00FE6C7E">
                              <w:rPr>
                                <w:rFonts w:cs="Arial"/>
                              </w:rPr>
                              <w:t xml:space="preserve"> </w:t>
                            </w:r>
                          </w:p>
                          <w:p w14:paraId="14E6BC70" w14:textId="77777777" w:rsidR="009125B9" w:rsidRDefault="009125B9">
                            <w:pPr>
                              <w:rPr>
                                <w:b/>
                              </w:rPr>
                            </w:pPr>
                          </w:p>
                          <w:p w14:paraId="66E38967" w14:textId="25A24D42" w:rsidR="009125B9" w:rsidRDefault="009125B9">
                            <w:pPr>
                              <w:rPr>
                                <w:b/>
                              </w:rPr>
                            </w:pPr>
                            <w:r>
                              <w:rPr>
                                <w:b/>
                              </w:rPr>
                              <w:t>Action</w:t>
                            </w:r>
                          </w:p>
                          <w:p w14:paraId="421B1FDE" w14:textId="39F273C0" w:rsidR="009125B9" w:rsidRPr="001F35F9" w:rsidRDefault="009125B9">
                            <w:r>
                              <w:t xml:space="preserve">Officers to progress as directed by the Board.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C074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296CBBF" w14:textId="77777777" w:rsidR="009125B9" w:rsidRDefault="009125B9"/>
                    <w:sdt>
                      <w:sdtPr>
                        <w:rPr>
                          <w:rStyle w:val="Style6"/>
                        </w:rPr>
                        <w:alias w:val="Recommendations"/>
                        <w:tag w:val="Recommendations"/>
                        <w:id w:val="-1634171231"/>
                        <w:placeholder>
                          <w:docPart w:val="6A9E8857DB8647FABF64567742B78AD3"/>
                        </w:placeholder>
                      </w:sdtPr>
                      <w:sdtContent>
                        <w:p w14:paraId="7E1332D4" w14:textId="17D5B617" w:rsidR="009125B9" w:rsidRPr="00A627DD" w:rsidRDefault="009125B9" w:rsidP="00B84F31">
                          <w:pPr>
                            <w:ind w:left="0" w:firstLine="0"/>
                          </w:pPr>
                          <w:r>
                            <w:rPr>
                              <w:rStyle w:val="Style6"/>
                            </w:rPr>
                            <w:t>Recommendation</w:t>
                          </w:r>
                        </w:p>
                      </w:sdtContent>
                    </w:sdt>
                    <w:p w14:paraId="4191E40E" w14:textId="58B84309" w:rsidR="009125B9" w:rsidRPr="00B84F31" w:rsidRDefault="009125B9" w:rsidP="001F35F9">
                      <w:pPr>
                        <w:spacing w:after="0" w:line="240" w:lineRule="auto"/>
                        <w:ind w:left="0" w:firstLine="0"/>
                      </w:pPr>
                      <w:r>
                        <w:rPr>
                          <w:rFonts w:cs="Arial"/>
                        </w:rPr>
                        <w:t>Environment, Economy, Housing and Transport Board m</w:t>
                      </w:r>
                      <w:r w:rsidRPr="00D90288">
                        <w:rPr>
                          <w:rFonts w:cs="Arial"/>
                        </w:rPr>
                        <w:t>embers are asked to give direction as the</w:t>
                      </w:r>
                      <w:r w:rsidRPr="00357A7D">
                        <w:rPr>
                          <w:rFonts w:cs="Arial"/>
                        </w:rPr>
                        <w:t xml:space="preserve"> LGA engag</w:t>
                      </w:r>
                      <w:r w:rsidRPr="00FE6C7E">
                        <w:rPr>
                          <w:rFonts w:cs="Arial"/>
                        </w:rPr>
                        <w:t>es with government on future waste policy</w:t>
                      </w:r>
                      <w:r>
                        <w:rPr>
                          <w:rFonts w:cs="Arial"/>
                        </w:rPr>
                        <w:t>.</w:t>
                      </w:r>
                      <w:r w:rsidRPr="00FE6C7E">
                        <w:rPr>
                          <w:rFonts w:cs="Arial"/>
                        </w:rPr>
                        <w:t xml:space="preserve"> </w:t>
                      </w:r>
                    </w:p>
                    <w:p w14:paraId="14E6BC70" w14:textId="77777777" w:rsidR="009125B9" w:rsidRDefault="009125B9">
                      <w:pPr>
                        <w:rPr>
                          <w:b/>
                        </w:rPr>
                      </w:pPr>
                    </w:p>
                    <w:p w14:paraId="66E38967" w14:textId="25A24D42" w:rsidR="009125B9" w:rsidRDefault="009125B9">
                      <w:pPr>
                        <w:rPr>
                          <w:b/>
                        </w:rPr>
                      </w:pPr>
                      <w:r>
                        <w:rPr>
                          <w:b/>
                        </w:rPr>
                        <w:t>Action</w:t>
                      </w:r>
                    </w:p>
                    <w:p w14:paraId="421B1FDE" w14:textId="39F273C0" w:rsidR="009125B9" w:rsidRPr="001F35F9" w:rsidRDefault="009125B9">
                      <w:r>
                        <w:t xml:space="preserve">Officers to progress as directed by the Board. </w:t>
                      </w:r>
                    </w:p>
                  </w:txbxContent>
                </v:textbox>
                <w10:wrap anchorx="margin"/>
              </v:shape>
            </w:pict>
          </mc:Fallback>
        </mc:AlternateContent>
      </w:r>
    </w:p>
    <w:p w14:paraId="1C1ABCCF" w14:textId="77777777" w:rsidR="009B6F95" w:rsidRDefault="009B6F95" w:rsidP="00B84F31">
      <w:pPr>
        <w:pStyle w:val="Title3"/>
      </w:pPr>
    </w:p>
    <w:p w14:paraId="48CA18E8" w14:textId="77777777" w:rsidR="009B6F95" w:rsidRDefault="009B6F95" w:rsidP="00B84F31">
      <w:pPr>
        <w:pStyle w:val="Title3"/>
      </w:pPr>
    </w:p>
    <w:p w14:paraId="0C2A4F9B" w14:textId="77777777" w:rsidR="009B6F95" w:rsidRDefault="009B6F95" w:rsidP="00B84F31">
      <w:pPr>
        <w:pStyle w:val="Title3"/>
      </w:pPr>
    </w:p>
    <w:p w14:paraId="4E3CA02F" w14:textId="77777777" w:rsidR="009B6F95" w:rsidRDefault="009B6F95" w:rsidP="00B84F31">
      <w:pPr>
        <w:pStyle w:val="Title3"/>
      </w:pPr>
    </w:p>
    <w:p w14:paraId="06DA11BB" w14:textId="77777777" w:rsidR="009B6F95" w:rsidRDefault="009B6F95" w:rsidP="00B84F31">
      <w:pPr>
        <w:pStyle w:val="Title3"/>
      </w:pPr>
    </w:p>
    <w:p w14:paraId="76E6E090" w14:textId="77777777" w:rsidR="009B6F95" w:rsidRDefault="009B6F95" w:rsidP="00B84F31">
      <w:pPr>
        <w:pStyle w:val="Title3"/>
      </w:pPr>
    </w:p>
    <w:p w14:paraId="1241E5E8" w14:textId="77777777" w:rsidR="009B6F95" w:rsidRDefault="009B6F95" w:rsidP="00B84F31">
      <w:pPr>
        <w:pStyle w:val="Title3"/>
      </w:pPr>
    </w:p>
    <w:p w14:paraId="051DB6D9" w14:textId="77777777" w:rsidR="009B6F95" w:rsidRDefault="009B6F95" w:rsidP="00B84F31">
      <w:pPr>
        <w:pStyle w:val="Title3"/>
      </w:pPr>
    </w:p>
    <w:p w14:paraId="5FFC53D5" w14:textId="77777777" w:rsidR="009B6F95" w:rsidRDefault="009B6F95" w:rsidP="00B84F31">
      <w:pPr>
        <w:pStyle w:val="Title3"/>
      </w:pPr>
    </w:p>
    <w:p w14:paraId="6E290AA3" w14:textId="77777777" w:rsidR="009B6F95" w:rsidRPr="00C803F3" w:rsidRDefault="00285F08" w:rsidP="000F69FB">
      <w:sdt>
        <w:sdtPr>
          <w:rPr>
            <w:rStyle w:val="Style2"/>
          </w:rPr>
          <w:id w:val="-1751574325"/>
          <w:lock w:val="contentLocked"/>
          <w:placeholder>
            <w:docPart w:val="2A0B69953C334DA29F4AA2DA11A20895"/>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Content>
          <w:r w:rsidR="00B36E45">
            <w:t>Sonika Sidhu</w:t>
          </w:r>
        </w:sdtContent>
      </w:sdt>
    </w:p>
    <w:p w14:paraId="3789FD83" w14:textId="77777777" w:rsidR="009B6F95" w:rsidRDefault="00285F08" w:rsidP="000F69FB">
      <w:sdt>
        <w:sdtPr>
          <w:rPr>
            <w:rStyle w:val="Style2"/>
          </w:rPr>
          <w:id w:val="1940027828"/>
          <w:lock w:val="contentLocked"/>
          <w:placeholder>
            <w:docPart w:val="5DA5FCDD5DE24111B5E40C7C6DC954DD"/>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Content>
          <w:r w:rsidR="00B36E45">
            <w:t>Senior Adviser</w:t>
          </w:r>
        </w:sdtContent>
      </w:sdt>
    </w:p>
    <w:p w14:paraId="43CF4C74" w14:textId="77777777" w:rsidR="009B6F95" w:rsidRDefault="00285F08" w:rsidP="000F69FB">
      <w:sdt>
        <w:sdtPr>
          <w:rPr>
            <w:rStyle w:val="Style2"/>
          </w:rPr>
          <w:id w:val="1040625228"/>
          <w:lock w:val="contentLocked"/>
          <w:placeholder>
            <w:docPart w:val="D0FBEB16E9CB482E827B08B4F87AD0BA"/>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Content>
          <w:r w:rsidR="00B36E45">
            <w:t>0207 664 3076</w:t>
          </w:r>
        </w:sdtContent>
      </w:sdt>
      <w:r w:rsidR="009B6F95" w:rsidRPr="00B5377C">
        <w:t xml:space="preserve"> </w:t>
      </w:r>
    </w:p>
    <w:p w14:paraId="02B4CB05" w14:textId="77777777" w:rsidR="009B6F95" w:rsidRDefault="00285F08" w:rsidP="00B84F31">
      <w:pPr>
        <w:pStyle w:val="Title3"/>
      </w:pPr>
      <w:sdt>
        <w:sdtPr>
          <w:rPr>
            <w:rStyle w:val="Style2"/>
          </w:rPr>
          <w:id w:val="614409820"/>
          <w:lock w:val="contentLocked"/>
          <w:placeholder>
            <w:docPart w:val="1E0CC31CDB354A1ABB229C915C28760C"/>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Content>
          <w:r w:rsidR="00B36E45">
            <w:t>Sonika.sidhu</w:t>
          </w:r>
          <w:r w:rsidR="009B6F95" w:rsidRPr="00C803F3">
            <w:t>@local.gov.uk</w:t>
          </w:r>
        </w:sdtContent>
      </w:sdt>
    </w:p>
    <w:p w14:paraId="26826D06"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86086783"/>
          <w:placeholder>
            <w:docPart w:val="52C62D73F0FC42128968D36894ABCCA0"/>
          </w:placeholder>
          <w:text w:multiLine="1"/>
        </w:sdtPr>
        <w:sdtContent>
          <w:r w:rsidR="004E5FBE">
            <w:rPr>
              <w:rFonts w:eastAsiaTheme="minorEastAsia" w:cs="Arial"/>
              <w:bCs/>
              <w:lang w:eastAsia="ja-JP"/>
            </w:rPr>
            <w:t>Waste and Recycling - EU Exit</w:t>
          </w:r>
        </w:sdtContent>
      </w:sdt>
      <w:r>
        <w:fldChar w:fldCharType="end"/>
      </w:r>
    </w:p>
    <w:p w14:paraId="749D4BC1" w14:textId="77777777" w:rsidR="004E5FBE" w:rsidRPr="004E5FBE" w:rsidRDefault="00285F08" w:rsidP="004E5FBE">
      <w:sdt>
        <w:sdtPr>
          <w:rPr>
            <w:rStyle w:val="Style6"/>
          </w:rPr>
          <w:alias w:val="Background"/>
          <w:tag w:val="Background"/>
          <w:id w:val="-1335600510"/>
          <w:placeholder>
            <w:docPart w:val="1444C70DB0544F7FA5791133FDBCBD91"/>
          </w:placeholder>
        </w:sdtPr>
        <w:sdtContent>
          <w:r w:rsidR="009B6F95" w:rsidRPr="00301A51">
            <w:rPr>
              <w:rStyle w:val="Style6"/>
            </w:rPr>
            <w:t>Background</w:t>
          </w:r>
        </w:sdtContent>
      </w:sdt>
    </w:p>
    <w:p w14:paraId="51701D61" w14:textId="726DE65E" w:rsidR="004E5FBE" w:rsidRPr="004E5FBE" w:rsidRDefault="004E5FBE" w:rsidP="005F6BEF">
      <w:pPr>
        <w:numPr>
          <w:ilvl w:val="0"/>
          <w:numId w:val="3"/>
        </w:numPr>
        <w:spacing w:after="0" w:line="240" w:lineRule="auto"/>
        <w:jc w:val="both"/>
        <w:rPr>
          <w:rFonts w:cs="Arial"/>
          <w:color w:val="000000"/>
        </w:rPr>
      </w:pPr>
      <w:r w:rsidRPr="004E5FBE">
        <w:rPr>
          <w:rFonts w:cs="Arial"/>
          <w:color w:val="000000"/>
        </w:rPr>
        <w:t xml:space="preserve">The UK’s exit from the EU will have a significant impact at local authority level, creating </w:t>
      </w:r>
      <w:r w:rsidR="00D90288" w:rsidRPr="004E5FBE">
        <w:rPr>
          <w:rFonts w:cs="Arial"/>
          <w:color w:val="000000"/>
        </w:rPr>
        <w:t xml:space="preserve">opportunities to do things differently </w:t>
      </w:r>
      <w:r w:rsidR="00D90288">
        <w:rPr>
          <w:rFonts w:cs="Arial"/>
          <w:color w:val="000000"/>
        </w:rPr>
        <w:t xml:space="preserve">and </w:t>
      </w:r>
      <w:r w:rsidRPr="004E5FBE">
        <w:rPr>
          <w:rFonts w:cs="Arial"/>
          <w:color w:val="000000"/>
        </w:rPr>
        <w:t xml:space="preserve">challenges </w:t>
      </w:r>
      <w:r w:rsidR="00285F08">
        <w:rPr>
          <w:rFonts w:cs="Arial"/>
          <w:color w:val="000000"/>
        </w:rPr>
        <w:t xml:space="preserve">that will need to be addressed. </w:t>
      </w:r>
      <w:r w:rsidRPr="004E5FBE">
        <w:rPr>
          <w:rFonts w:cs="Arial"/>
          <w:color w:val="000000"/>
        </w:rPr>
        <w:t xml:space="preserve">The LGA has identified priorities which it will be focussing on in order to </w:t>
      </w:r>
      <w:r w:rsidR="00D90288" w:rsidRPr="004E5FBE">
        <w:rPr>
          <w:rFonts w:cs="Arial"/>
          <w:color w:val="000000"/>
        </w:rPr>
        <w:t xml:space="preserve">ensure that powers repatriated from the EU do not stop at Whitehall, Stormont, Cardiff Bay and Holyrood. </w:t>
      </w:r>
    </w:p>
    <w:p w14:paraId="5523EC3A" w14:textId="03BB99D6" w:rsidR="004E5FBE" w:rsidRPr="0041482D" w:rsidRDefault="004E5FBE" w:rsidP="004E5FBE">
      <w:pPr>
        <w:numPr>
          <w:ilvl w:val="0"/>
          <w:numId w:val="3"/>
        </w:numPr>
        <w:shd w:val="clear" w:color="auto" w:fill="FFFFFF"/>
        <w:spacing w:before="240" w:after="100" w:afterAutospacing="1" w:line="240" w:lineRule="auto"/>
        <w:jc w:val="both"/>
        <w:rPr>
          <w:rFonts w:eastAsia="Times New Roman" w:cs="Arial"/>
          <w:lang w:eastAsia="en-GB"/>
        </w:rPr>
      </w:pPr>
      <w:r w:rsidRPr="0041482D">
        <w:rPr>
          <w:rFonts w:eastAsia="Times New Roman" w:cs="Arial"/>
          <w:lang w:eastAsia="en-GB"/>
        </w:rPr>
        <w:t>On the 30</w:t>
      </w:r>
      <w:r w:rsidR="00285F08">
        <w:rPr>
          <w:rFonts w:eastAsia="Times New Roman" w:cs="Arial"/>
          <w:vertAlign w:val="superscript"/>
          <w:lang w:eastAsia="en-GB"/>
        </w:rPr>
        <w:t xml:space="preserve"> </w:t>
      </w:r>
      <w:r w:rsidRPr="0041482D">
        <w:rPr>
          <w:rFonts w:eastAsia="Times New Roman" w:cs="Arial"/>
          <w:lang w:eastAsia="en-GB"/>
        </w:rPr>
        <w:t>March 2017 the Government published the Great Repeal Bill white paper. This outlined how EU legislation will be transp</w:t>
      </w:r>
      <w:r w:rsidR="001F35F9">
        <w:rPr>
          <w:rFonts w:eastAsia="Times New Roman" w:cs="Arial"/>
          <w:lang w:eastAsia="en-GB"/>
        </w:rPr>
        <w:t>osed into UK law over the next two</w:t>
      </w:r>
      <w:r w:rsidRPr="0041482D">
        <w:rPr>
          <w:rFonts w:eastAsia="Times New Roman" w:cs="Arial"/>
          <w:lang w:eastAsia="en-GB"/>
        </w:rPr>
        <w:t xml:space="preserve"> years. The </w:t>
      </w:r>
      <w:r w:rsidR="00D90288" w:rsidRPr="0041482D">
        <w:rPr>
          <w:rFonts w:eastAsia="Times New Roman" w:cs="Arial"/>
          <w:lang w:eastAsia="en-GB"/>
        </w:rPr>
        <w:t xml:space="preserve">EU Withdrawal </w:t>
      </w:r>
      <w:r w:rsidRPr="0041482D">
        <w:rPr>
          <w:rFonts w:eastAsia="Times New Roman" w:cs="Arial"/>
          <w:lang w:eastAsia="en-GB"/>
        </w:rPr>
        <w:t>Bill will repeal th</w:t>
      </w:r>
      <w:r w:rsidR="000E7FEB">
        <w:rPr>
          <w:rFonts w:eastAsia="Times New Roman" w:cs="Arial"/>
          <w:lang w:eastAsia="en-GB"/>
        </w:rPr>
        <w:t>e 1972 European Communities Act</w:t>
      </w:r>
      <w:r w:rsidRPr="0041482D">
        <w:rPr>
          <w:rFonts w:eastAsia="Times New Roman" w:cs="Arial"/>
          <w:lang w:eastAsia="en-GB"/>
        </w:rPr>
        <w:t xml:space="preserve">. All existing EU legislation will be copied across into domestic UK law to ensure a smooth transition on the day after Brexit. </w:t>
      </w:r>
    </w:p>
    <w:p w14:paraId="5E2A4CAD" w14:textId="77777777" w:rsidR="004E5FBE" w:rsidRPr="004E5FBE" w:rsidRDefault="004E5FBE" w:rsidP="004E5FBE">
      <w:pPr>
        <w:numPr>
          <w:ilvl w:val="0"/>
          <w:numId w:val="3"/>
        </w:numPr>
        <w:shd w:val="clear" w:color="auto" w:fill="FFFFFF"/>
        <w:spacing w:before="240" w:after="100" w:afterAutospacing="1" w:line="240" w:lineRule="auto"/>
        <w:jc w:val="both"/>
        <w:rPr>
          <w:rFonts w:ascii="Helvetica" w:eastAsia="Times New Roman" w:hAnsi="Helvetica" w:cs="Times New Roman"/>
          <w:color w:val="404040"/>
          <w:sz w:val="21"/>
          <w:szCs w:val="21"/>
          <w:lang w:eastAsia="en-GB"/>
        </w:rPr>
      </w:pPr>
      <w:r w:rsidRPr="004E5FBE">
        <w:rPr>
          <w:rFonts w:cs="Arial"/>
          <w:bCs/>
        </w:rPr>
        <w:t>United Kingdom environmental law</w:t>
      </w:r>
      <w:r w:rsidRPr="004E5FBE">
        <w:rPr>
          <w:rFonts w:cs="Arial"/>
        </w:rPr>
        <w:t xml:space="preserve"> concerns the protection of the </w:t>
      </w:r>
      <w:hyperlink r:id="rId11" w:tooltip="Natural environment" w:history="1">
        <w:r w:rsidRPr="004E5FBE">
          <w:rPr>
            <w:rFonts w:cs="Arial"/>
          </w:rPr>
          <w:t>environment</w:t>
        </w:r>
      </w:hyperlink>
      <w:r w:rsidRPr="004E5FBE">
        <w:rPr>
          <w:rFonts w:cs="Arial"/>
        </w:rPr>
        <w:t xml:space="preserve"> in the </w:t>
      </w:r>
      <w:hyperlink r:id="rId12" w:tooltip="United Kingdom" w:history="1">
        <w:r w:rsidRPr="004E5FBE">
          <w:rPr>
            <w:rFonts w:cs="Arial"/>
          </w:rPr>
          <w:t>United Kingdom</w:t>
        </w:r>
      </w:hyperlink>
      <w:r w:rsidRPr="004E5FBE">
        <w:rPr>
          <w:rFonts w:cs="Arial"/>
        </w:rPr>
        <w:t xml:space="preserve">. </w:t>
      </w:r>
      <w:hyperlink r:id="rId13" w:tooltip="Environmental law" w:history="1">
        <w:r w:rsidRPr="004E5FBE">
          <w:rPr>
            <w:rFonts w:cs="Arial"/>
          </w:rPr>
          <w:t>Environmental law</w:t>
        </w:r>
      </w:hyperlink>
      <w:r w:rsidRPr="004E5FBE">
        <w:rPr>
          <w:rFonts w:cs="Arial"/>
        </w:rPr>
        <w:t xml:space="preserve"> </w:t>
      </w:r>
      <w:r w:rsidR="00C10FCF">
        <w:rPr>
          <w:rFonts w:cs="Arial"/>
        </w:rPr>
        <w:t xml:space="preserve">has </w:t>
      </w:r>
      <w:r w:rsidRPr="004E5FBE">
        <w:rPr>
          <w:rFonts w:cs="Arial"/>
        </w:rPr>
        <w:t>increasingly</w:t>
      </w:r>
      <w:r w:rsidR="001D1F18">
        <w:rPr>
          <w:rFonts w:cs="Arial"/>
        </w:rPr>
        <w:t xml:space="preserve"> been </w:t>
      </w:r>
      <w:r w:rsidRPr="004E5FBE">
        <w:rPr>
          <w:rFonts w:cs="Arial"/>
        </w:rPr>
        <w:t xml:space="preserve">a European and an international issue, due to the cross border issues of air pollution, water pollution, and </w:t>
      </w:r>
      <w:hyperlink r:id="rId14" w:tooltip="Climate change" w:history="1">
        <w:r w:rsidRPr="004E5FBE">
          <w:rPr>
            <w:rFonts w:cs="Arial"/>
          </w:rPr>
          <w:t>climate change</w:t>
        </w:r>
      </w:hyperlink>
      <w:r w:rsidRPr="004E5FBE">
        <w:rPr>
          <w:rFonts w:cs="Arial"/>
        </w:rPr>
        <w:t xml:space="preserve">. </w:t>
      </w:r>
      <w:r w:rsidRPr="004E5FBE">
        <w:rPr>
          <w:rFonts w:eastAsia="Times New Roman" w:cs="Arial"/>
          <w:lang w:eastAsia="en-GB"/>
        </w:rPr>
        <w:t xml:space="preserve">The UK’s membership of the EU </w:t>
      </w:r>
      <w:r w:rsidR="0041482D">
        <w:rPr>
          <w:rFonts w:eastAsia="Times New Roman" w:cs="Arial"/>
          <w:lang w:eastAsia="en-GB"/>
        </w:rPr>
        <w:t>has been a crucial factor in</w:t>
      </w:r>
      <w:r w:rsidRPr="004E5FBE">
        <w:rPr>
          <w:rFonts w:eastAsia="Times New Roman" w:cs="Arial"/>
          <w:lang w:eastAsia="en-GB"/>
        </w:rPr>
        <w:t xml:space="preserve"> shaping</w:t>
      </w:r>
      <w:r w:rsidR="009E1528">
        <w:rPr>
          <w:rFonts w:eastAsia="Times New Roman" w:cs="Arial"/>
          <w:lang w:eastAsia="en-GB"/>
        </w:rPr>
        <w:t xml:space="preserve"> the</w:t>
      </w:r>
      <w:r w:rsidR="00C10FCF">
        <w:rPr>
          <w:rFonts w:eastAsia="Times New Roman" w:cs="Arial"/>
          <w:lang w:eastAsia="en-GB"/>
        </w:rPr>
        <w:t xml:space="preserve"> direction and pace </w:t>
      </w:r>
      <w:r w:rsidRPr="004E5FBE">
        <w:rPr>
          <w:rFonts w:eastAsia="Times New Roman" w:cs="Arial"/>
          <w:lang w:eastAsia="en-GB"/>
        </w:rPr>
        <w:t>of its environmental policy</w:t>
      </w:r>
      <w:r w:rsidR="00C10FCF">
        <w:rPr>
          <w:rFonts w:eastAsia="Times New Roman" w:cs="Arial"/>
          <w:lang w:eastAsia="en-GB"/>
        </w:rPr>
        <w:t>.</w:t>
      </w:r>
      <w:r w:rsidRPr="004E5FBE">
        <w:rPr>
          <w:rFonts w:eastAsia="Times New Roman" w:cs="Arial"/>
          <w:lang w:eastAsia="en-GB"/>
        </w:rPr>
        <w:t xml:space="preserve"> </w:t>
      </w:r>
    </w:p>
    <w:p w14:paraId="17CC805C" w14:textId="52EFCF28" w:rsidR="004E5FBE" w:rsidRPr="005F6BEF" w:rsidRDefault="00C10FCF" w:rsidP="00EB2A36">
      <w:pPr>
        <w:numPr>
          <w:ilvl w:val="0"/>
          <w:numId w:val="3"/>
        </w:numPr>
        <w:shd w:val="clear" w:color="auto" w:fill="FFFFFF"/>
        <w:spacing w:before="240" w:after="100" w:afterAutospacing="1" w:line="240" w:lineRule="auto"/>
        <w:jc w:val="both"/>
        <w:rPr>
          <w:rFonts w:ascii="Helvetica" w:eastAsia="Times New Roman" w:hAnsi="Helvetica" w:cs="Times New Roman"/>
          <w:color w:val="404040"/>
          <w:sz w:val="21"/>
          <w:szCs w:val="21"/>
          <w:lang w:eastAsia="en-GB"/>
        </w:rPr>
      </w:pPr>
      <w:r w:rsidRPr="00357A7D">
        <w:rPr>
          <w:rFonts w:eastAsia="Times New Roman" w:cs="Arial"/>
          <w:lang w:eastAsia="en-GB"/>
        </w:rPr>
        <w:t>W</w:t>
      </w:r>
      <w:r w:rsidR="004E5FBE" w:rsidRPr="00357A7D">
        <w:rPr>
          <w:rFonts w:eastAsia="Times New Roman" w:cs="Arial"/>
          <w:lang w:eastAsia="en-GB"/>
        </w:rPr>
        <w:t xml:space="preserve">aste and recycling </w:t>
      </w:r>
      <w:r w:rsidRPr="00357A7D">
        <w:rPr>
          <w:rFonts w:eastAsia="Times New Roman" w:cs="Arial"/>
          <w:lang w:eastAsia="en-GB"/>
        </w:rPr>
        <w:t xml:space="preserve">is one area that the LGA will be prioritising </w:t>
      </w:r>
      <w:r w:rsidR="004E5FBE" w:rsidRPr="00357A7D">
        <w:rPr>
          <w:rFonts w:eastAsia="Times New Roman" w:cs="Arial"/>
          <w:lang w:eastAsia="en-GB"/>
        </w:rPr>
        <w:t>in its discussions</w:t>
      </w:r>
      <w:r w:rsidRPr="00357A7D">
        <w:rPr>
          <w:rFonts w:eastAsia="Times New Roman" w:cs="Arial"/>
          <w:lang w:eastAsia="en-GB"/>
        </w:rPr>
        <w:t xml:space="preserve"> with Government</w:t>
      </w:r>
      <w:r w:rsidR="004E5FBE" w:rsidRPr="00357A7D">
        <w:rPr>
          <w:rFonts w:eastAsia="Times New Roman" w:cs="Arial"/>
          <w:lang w:eastAsia="en-GB"/>
        </w:rPr>
        <w:t xml:space="preserve"> as this is a service which should be </w:t>
      </w:r>
      <w:r w:rsidRPr="00FE6C7E">
        <w:rPr>
          <w:rFonts w:eastAsia="Times New Roman" w:cs="Arial"/>
          <w:lang w:eastAsia="en-GB"/>
        </w:rPr>
        <w:t>subject to</w:t>
      </w:r>
      <w:r w:rsidR="004E5FBE" w:rsidRPr="00FE6C7E">
        <w:rPr>
          <w:rFonts w:eastAsia="Times New Roman" w:cs="Arial"/>
          <w:lang w:eastAsia="en-GB"/>
        </w:rPr>
        <w:t xml:space="preserve"> local determination. Current indications suggest that DEFRA will be focussing more on issues around agriculture and fishing and so will seek to maintain the status quo around waste and recycling</w:t>
      </w:r>
      <w:r w:rsidRPr="00FE6C7E">
        <w:rPr>
          <w:rFonts w:eastAsia="Times New Roman" w:cs="Arial"/>
          <w:lang w:eastAsia="en-GB"/>
        </w:rPr>
        <w:t xml:space="preserve"> in the</w:t>
      </w:r>
      <w:r w:rsidRPr="003D10AE">
        <w:rPr>
          <w:rFonts w:eastAsia="Times New Roman" w:cs="Arial"/>
          <w:lang w:eastAsia="en-GB"/>
        </w:rPr>
        <w:t xml:space="preserve"> short and medium term</w:t>
      </w:r>
      <w:r w:rsidR="004E5FBE" w:rsidRPr="003D10AE">
        <w:rPr>
          <w:rFonts w:eastAsia="Times New Roman" w:cs="Arial"/>
          <w:lang w:eastAsia="en-GB"/>
        </w:rPr>
        <w:t>.</w:t>
      </w:r>
      <w:r w:rsidRPr="003D10AE">
        <w:rPr>
          <w:rFonts w:eastAsia="Times New Roman" w:cs="Arial"/>
          <w:lang w:eastAsia="en-GB"/>
        </w:rPr>
        <w:t xml:space="preserve"> However, DEFRA is in a process of strategic thinking and </w:t>
      </w:r>
      <w:r w:rsidRPr="00D54B7C">
        <w:rPr>
          <w:rFonts w:eastAsia="Times New Roman" w:cs="Arial"/>
          <w:lang w:eastAsia="en-GB"/>
        </w:rPr>
        <w:t xml:space="preserve">the circumstances </w:t>
      </w:r>
      <w:r w:rsidR="004E5FBE" w:rsidRPr="00D54B7C">
        <w:rPr>
          <w:rFonts w:eastAsia="Times New Roman" w:cs="Arial"/>
          <w:lang w:eastAsia="en-GB"/>
        </w:rPr>
        <w:t>provide a</w:t>
      </w:r>
      <w:r w:rsidRPr="00D54B7C">
        <w:rPr>
          <w:rFonts w:eastAsia="Times New Roman" w:cs="Arial"/>
          <w:lang w:eastAsia="en-GB"/>
        </w:rPr>
        <w:t>n</w:t>
      </w:r>
      <w:r w:rsidR="004E5FBE" w:rsidRPr="00D54B7C">
        <w:rPr>
          <w:rFonts w:eastAsia="Times New Roman" w:cs="Arial"/>
          <w:lang w:eastAsia="en-GB"/>
        </w:rPr>
        <w:t xml:space="preserve"> opportunity for </w:t>
      </w:r>
      <w:r w:rsidRPr="00D54B7C">
        <w:rPr>
          <w:rFonts w:eastAsia="Times New Roman" w:cs="Arial"/>
          <w:lang w:eastAsia="en-GB"/>
        </w:rPr>
        <w:t xml:space="preserve">the </w:t>
      </w:r>
      <w:r w:rsidR="004E5FBE" w:rsidRPr="00D54B7C">
        <w:rPr>
          <w:rFonts w:eastAsia="Times New Roman" w:cs="Arial"/>
          <w:lang w:eastAsia="en-GB"/>
        </w:rPr>
        <w:t xml:space="preserve">sector to consider whether </w:t>
      </w:r>
      <w:r w:rsidRPr="00D54B7C">
        <w:rPr>
          <w:rFonts w:eastAsia="Times New Roman" w:cs="Arial"/>
          <w:lang w:eastAsia="en-GB"/>
        </w:rPr>
        <w:t xml:space="preserve">there are positive </w:t>
      </w:r>
      <w:r w:rsidR="004E5FBE" w:rsidRPr="00D54B7C">
        <w:rPr>
          <w:rFonts w:eastAsia="Times New Roman" w:cs="Arial"/>
          <w:lang w:eastAsia="en-GB"/>
        </w:rPr>
        <w:t>change</w:t>
      </w:r>
      <w:r w:rsidRPr="00D54B7C">
        <w:rPr>
          <w:rFonts w:eastAsia="Times New Roman" w:cs="Arial"/>
          <w:lang w:eastAsia="en-GB"/>
        </w:rPr>
        <w:t xml:space="preserve">s to the approach to waste management that </w:t>
      </w:r>
      <w:r w:rsidRPr="008F4001">
        <w:rPr>
          <w:rFonts w:eastAsia="Times New Roman" w:cs="Arial"/>
          <w:lang w:eastAsia="en-GB"/>
        </w:rPr>
        <w:t xml:space="preserve">we could propose </w:t>
      </w:r>
      <w:r w:rsidR="000E7FEB" w:rsidRPr="008F4001">
        <w:rPr>
          <w:rFonts w:eastAsia="Times New Roman" w:cs="Arial"/>
          <w:lang w:eastAsia="en-GB"/>
        </w:rPr>
        <w:t>to government</w:t>
      </w:r>
      <w:r w:rsidR="004E5FBE" w:rsidRPr="008F4001">
        <w:rPr>
          <w:rFonts w:eastAsia="Times New Roman" w:cs="Arial"/>
          <w:lang w:eastAsia="en-GB"/>
        </w:rPr>
        <w:t xml:space="preserve"> </w:t>
      </w:r>
      <w:r w:rsidRPr="008F4001">
        <w:rPr>
          <w:rFonts w:eastAsia="Times New Roman" w:cs="Arial"/>
          <w:lang w:eastAsia="en-GB"/>
        </w:rPr>
        <w:t>as it develops future pol</w:t>
      </w:r>
      <w:r w:rsidR="008F4001" w:rsidRPr="008F4001">
        <w:rPr>
          <w:rFonts w:eastAsia="Times New Roman" w:cs="Arial"/>
          <w:lang w:eastAsia="en-GB"/>
        </w:rPr>
        <w:t>icy in this area.</w:t>
      </w:r>
    </w:p>
    <w:p w14:paraId="1B651866" w14:textId="77777777" w:rsidR="005F6BEF" w:rsidRPr="0041482D" w:rsidRDefault="0041482D" w:rsidP="00285F08">
      <w:pPr>
        <w:shd w:val="clear" w:color="auto" w:fill="FFFFFF"/>
        <w:spacing w:before="240" w:after="100" w:afterAutospacing="1" w:line="240" w:lineRule="auto"/>
        <w:ind w:left="0" w:firstLine="0"/>
        <w:jc w:val="both"/>
        <w:rPr>
          <w:rFonts w:eastAsia="Times New Roman" w:cs="Arial"/>
          <w:b/>
          <w:color w:val="404040"/>
          <w:lang w:eastAsia="en-GB"/>
        </w:rPr>
      </w:pPr>
      <w:r w:rsidRPr="0041482D">
        <w:rPr>
          <w:rFonts w:eastAsia="Times New Roman" w:cs="Arial"/>
          <w:b/>
          <w:color w:val="404040"/>
          <w:lang w:eastAsia="en-GB"/>
        </w:rPr>
        <w:t>Current Position</w:t>
      </w:r>
    </w:p>
    <w:p w14:paraId="1065C5C4" w14:textId="5F77664E" w:rsidR="004E5FBE" w:rsidRPr="0041482D" w:rsidRDefault="004E5FBE" w:rsidP="0041482D">
      <w:pPr>
        <w:numPr>
          <w:ilvl w:val="0"/>
          <w:numId w:val="3"/>
        </w:numPr>
        <w:spacing w:after="0" w:line="240" w:lineRule="auto"/>
        <w:jc w:val="both"/>
        <w:rPr>
          <w:rFonts w:eastAsia="Times New Roman" w:cs="Arial"/>
          <w:b/>
          <w:lang w:eastAsia="en-GB"/>
        </w:rPr>
      </w:pPr>
      <w:r w:rsidRPr="0041482D">
        <w:rPr>
          <w:rFonts w:eastAsia="Times New Roman" w:cs="Arial"/>
          <w:lang w:eastAsia="en-GB"/>
        </w:rPr>
        <w:t>Since 2000, local government has made significant progress in recycling municipal waste. Between 2004-2014 as a nation we have improved our municipal waste</w:t>
      </w:r>
      <w:r w:rsidR="000E7FEB">
        <w:rPr>
          <w:rFonts w:eastAsia="Times New Roman" w:cs="Arial"/>
          <w:lang w:eastAsia="en-GB"/>
        </w:rPr>
        <w:t xml:space="preserve"> recycling and composting by 15 per cent</w:t>
      </w:r>
      <w:r w:rsidRPr="0041482D">
        <w:rPr>
          <w:rFonts w:eastAsia="Times New Roman" w:cs="Arial"/>
          <w:lang w:eastAsia="en-GB"/>
        </w:rPr>
        <w:t xml:space="preserve"> taking us up to 8</w:t>
      </w:r>
      <w:r w:rsidRPr="0041482D">
        <w:rPr>
          <w:rFonts w:eastAsia="Times New Roman" w:cs="Arial"/>
          <w:vertAlign w:val="superscript"/>
          <w:lang w:eastAsia="en-GB"/>
        </w:rPr>
        <w:t>th</w:t>
      </w:r>
      <w:r w:rsidRPr="0041482D">
        <w:rPr>
          <w:rFonts w:eastAsia="Times New Roman" w:cs="Arial"/>
          <w:lang w:eastAsia="en-GB"/>
        </w:rPr>
        <w:t xml:space="preserve"> place out of 34 European countries.</w:t>
      </w:r>
      <w:r w:rsidRPr="004E5FBE">
        <w:rPr>
          <w:rFonts w:eastAsia="Times New Roman" w:cs="Arial"/>
          <w:vertAlign w:val="superscript"/>
          <w:lang w:eastAsia="en-GB"/>
        </w:rPr>
        <w:footnoteReference w:id="1"/>
      </w:r>
      <w:r w:rsidRPr="0041482D">
        <w:rPr>
          <w:rFonts w:eastAsia="Times New Roman" w:cs="Arial"/>
          <w:lang w:eastAsia="en-GB"/>
        </w:rPr>
        <w:t xml:space="preserve"> The pursuit of existing EU waste targets since 2000 has required a doubling of spend by English authorities to £3.28 billion. This makes collection and disposal of waste and recycling the third highest cost service for English local authorities.</w:t>
      </w:r>
    </w:p>
    <w:p w14:paraId="2B60B956" w14:textId="77777777" w:rsidR="004E5FBE" w:rsidRPr="004E5FBE" w:rsidRDefault="004E5FBE" w:rsidP="004E5FBE">
      <w:pPr>
        <w:spacing w:after="0" w:line="240" w:lineRule="auto"/>
        <w:ind w:left="360" w:firstLine="0"/>
        <w:rPr>
          <w:rFonts w:eastAsia="Times New Roman" w:cs="Arial"/>
          <w:lang w:eastAsia="en-GB"/>
        </w:rPr>
      </w:pPr>
    </w:p>
    <w:p w14:paraId="78F08808" w14:textId="77777777" w:rsidR="000E7FEB" w:rsidRDefault="004E5FBE" w:rsidP="000E7FEB">
      <w:pPr>
        <w:numPr>
          <w:ilvl w:val="0"/>
          <w:numId w:val="3"/>
        </w:numPr>
        <w:spacing w:after="0" w:line="240" w:lineRule="auto"/>
        <w:jc w:val="both"/>
        <w:rPr>
          <w:rFonts w:eastAsia="Times New Roman" w:cs="Arial"/>
          <w:lang w:eastAsia="en-GB"/>
        </w:rPr>
      </w:pPr>
      <w:r w:rsidRPr="004E5FBE">
        <w:rPr>
          <w:rFonts w:eastAsia="Times New Roman" w:cs="Arial"/>
          <w:lang w:eastAsia="en-GB"/>
        </w:rPr>
        <w:t>The current household recycling rate in England is 43.5 per cent and has been b</w:t>
      </w:r>
      <w:r w:rsidR="000E7FEB">
        <w:rPr>
          <w:rFonts w:eastAsia="Times New Roman" w:cs="Arial"/>
          <w:lang w:eastAsia="en-GB"/>
        </w:rPr>
        <w:t>roadly flat for three years. 73 per cent</w:t>
      </w:r>
      <w:r w:rsidRPr="004E5FBE">
        <w:rPr>
          <w:rFonts w:eastAsia="Times New Roman" w:cs="Arial"/>
          <w:lang w:eastAsia="en-GB"/>
        </w:rPr>
        <w:t xml:space="preserve"> of UK packaging waste is either recycled or recovered and 26</w:t>
      </w:r>
      <w:r w:rsidR="000E7FEB">
        <w:rPr>
          <w:rFonts w:eastAsia="Times New Roman" w:cs="Arial"/>
          <w:lang w:eastAsia="en-GB"/>
        </w:rPr>
        <w:t xml:space="preserve"> per cent</w:t>
      </w:r>
      <w:r w:rsidRPr="004E5FBE">
        <w:rPr>
          <w:rFonts w:eastAsia="Times New Roman" w:cs="Arial"/>
          <w:lang w:eastAsia="en-GB"/>
        </w:rPr>
        <w:t xml:space="preserve"> of waste ends up in landfill. The European Commission’s current proposals suggest a number of challenging waste and recycling targets for the future:</w:t>
      </w:r>
    </w:p>
    <w:p w14:paraId="099E8F10" w14:textId="77777777" w:rsidR="000E7FEB" w:rsidRDefault="000E7FEB" w:rsidP="009125B9">
      <w:pPr>
        <w:pStyle w:val="ListParagraph"/>
        <w:numPr>
          <w:ilvl w:val="0"/>
          <w:numId w:val="0"/>
        </w:numPr>
        <w:spacing w:after="0"/>
        <w:ind w:left="357"/>
        <w:rPr>
          <w:rFonts w:eastAsia="Times New Roman" w:cs="Arial"/>
          <w:lang w:eastAsia="en-GB"/>
        </w:rPr>
      </w:pPr>
    </w:p>
    <w:p w14:paraId="4B097E45" w14:textId="7A11FE97" w:rsidR="000E7FEB" w:rsidRDefault="004E5FBE" w:rsidP="000E7FEB">
      <w:pPr>
        <w:numPr>
          <w:ilvl w:val="1"/>
          <w:numId w:val="3"/>
        </w:numPr>
        <w:spacing w:after="0" w:line="240" w:lineRule="auto"/>
        <w:jc w:val="both"/>
        <w:rPr>
          <w:rFonts w:eastAsia="Times New Roman" w:cs="Arial"/>
          <w:lang w:eastAsia="en-GB"/>
        </w:rPr>
      </w:pPr>
      <w:r w:rsidRPr="000E7FEB">
        <w:rPr>
          <w:rFonts w:eastAsia="Times New Roman" w:cs="Arial"/>
          <w:lang w:eastAsia="en-GB"/>
        </w:rPr>
        <w:t>A common EU target for recycling 65</w:t>
      </w:r>
      <w:r w:rsidR="000E7FEB">
        <w:rPr>
          <w:rFonts w:eastAsia="Times New Roman" w:cs="Arial"/>
          <w:lang w:eastAsia="en-GB"/>
        </w:rPr>
        <w:t xml:space="preserve"> per cent</w:t>
      </w:r>
      <w:r w:rsidRPr="000E7FEB">
        <w:rPr>
          <w:rFonts w:eastAsia="Times New Roman" w:cs="Arial"/>
          <w:lang w:eastAsia="en-GB"/>
        </w:rPr>
        <w:t xml:space="preserve"> of municipal waste by 2030</w:t>
      </w:r>
    </w:p>
    <w:p w14:paraId="55025E28" w14:textId="77777777" w:rsidR="0080464E" w:rsidRDefault="0080464E" w:rsidP="0080464E">
      <w:pPr>
        <w:spacing w:after="0" w:line="240" w:lineRule="auto"/>
        <w:ind w:left="1021" w:firstLine="0"/>
        <w:jc w:val="both"/>
        <w:rPr>
          <w:rFonts w:eastAsia="Times New Roman" w:cs="Arial"/>
          <w:lang w:eastAsia="en-GB"/>
        </w:rPr>
      </w:pPr>
    </w:p>
    <w:p w14:paraId="286B1264" w14:textId="17B8FA2E" w:rsidR="000E7FEB" w:rsidRDefault="004E5FBE" w:rsidP="000E7FEB">
      <w:pPr>
        <w:numPr>
          <w:ilvl w:val="1"/>
          <w:numId w:val="3"/>
        </w:numPr>
        <w:spacing w:after="0" w:line="240" w:lineRule="auto"/>
        <w:jc w:val="both"/>
        <w:rPr>
          <w:rFonts w:eastAsia="Times New Roman" w:cs="Arial"/>
          <w:lang w:eastAsia="en-GB"/>
        </w:rPr>
      </w:pPr>
      <w:r w:rsidRPr="000E7FEB">
        <w:rPr>
          <w:rFonts w:eastAsia="Times New Roman" w:cs="Arial"/>
          <w:lang w:eastAsia="en-GB"/>
        </w:rPr>
        <w:t>A co</w:t>
      </w:r>
      <w:r w:rsidR="000E7FEB">
        <w:rPr>
          <w:rFonts w:eastAsia="Times New Roman" w:cs="Arial"/>
          <w:lang w:eastAsia="en-GB"/>
        </w:rPr>
        <w:t>mmon EU target for recycling 75 per cent</w:t>
      </w:r>
      <w:r w:rsidRPr="000E7FEB">
        <w:rPr>
          <w:rFonts w:eastAsia="Times New Roman" w:cs="Arial"/>
          <w:lang w:eastAsia="en-GB"/>
        </w:rPr>
        <w:t xml:space="preserve"> of packaging waste by 2030</w:t>
      </w:r>
    </w:p>
    <w:p w14:paraId="04681365" w14:textId="77915ECB" w:rsidR="004E5FBE" w:rsidRPr="000E7FEB" w:rsidRDefault="004E5FBE" w:rsidP="000E7FEB">
      <w:pPr>
        <w:numPr>
          <w:ilvl w:val="1"/>
          <w:numId w:val="3"/>
        </w:numPr>
        <w:spacing w:after="0" w:line="240" w:lineRule="auto"/>
        <w:jc w:val="both"/>
        <w:rPr>
          <w:rFonts w:eastAsia="Times New Roman" w:cs="Arial"/>
          <w:lang w:eastAsia="en-GB"/>
        </w:rPr>
      </w:pPr>
      <w:r w:rsidRPr="000E7FEB">
        <w:rPr>
          <w:rFonts w:eastAsia="Times New Roman" w:cs="Arial"/>
          <w:lang w:eastAsia="en-GB"/>
        </w:rPr>
        <w:lastRenderedPageBreak/>
        <w:t>A binding landfill target to r</w:t>
      </w:r>
      <w:r w:rsidR="000E7FEB">
        <w:rPr>
          <w:rFonts w:eastAsia="Times New Roman" w:cs="Arial"/>
          <w:lang w:eastAsia="en-GB"/>
        </w:rPr>
        <w:t>educe landfill to maximum of 10 per cent</w:t>
      </w:r>
      <w:r w:rsidRPr="000E7FEB">
        <w:rPr>
          <w:rFonts w:eastAsia="Times New Roman" w:cs="Arial"/>
          <w:lang w:eastAsia="en-GB"/>
        </w:rPr>
        <w:t xml:space="preserve"> of all waste by 2030</w:t>
      </w:r>
      <w:r w:rsidR="000E7FEB">
        <w:rPr>
          <w:rFonts w:eastAsia="Times New Roman" w:cs="Arial"/>
          <w:lang w:eastAsia="en-GB"/>
        </w:rPr>
        <w:t>.</w:t>
      </w:r>
    </w:p>
    <w:p w14:paraId="27BCCD0E" w14:textId="77777777" w:rsidR="004E5FBE" w:rsidRPr="004E5FBE" w:rsidRDefault="004E5FBE" w:rsidP="004E5FBE">
      <w:pPr>
        <w:spacing w:after="0" w:line="240" w:lineRule="auto"/>
        <w:ind w:left="1080" w:firstLine="0"/>
        <w:rPr>
          <w:rFonts w:eastAsia="Times New Roman" w:cs="Arial"/>
          <w:lang w:eastAsia="en-GB"/>
        </w:rPr>
      </w:pPr>
    </w:p>
    <w:p w14:paraId="111350E1" w14:textId="05A0E0F0" w:rsidR="004E5FBE" w:rsidRDefault="004E5FBE" w:rsidP="004E5FBE">
      <w:pPr>
        <w:numPr>
          <w:ilvl w:val="0"/>
          <w:numId w:val="3"/>
        </w:numPr>
        <w:spacing w:after="0" w:line="240" w:lineRule="auto"/>
        <w:jc w:val="both"/>
        <w:rPr>
          <w:rFonts w:eastAsia="Times New Roman" w:cs="Arial"/>
          <w:lang w:eastAsia="en-GB"/>
        </w:rPr>
      </w:pPr>
      <w:r w:rsidRPr="004E5FBE">
        <w:rPr>
          <w:rFonts w:eastAsia="Times New Roman" w:cs="Arial"/>
          <w:lang w:eastAsia="en-GB"/>
        </w:rPr>
        <w:t>Achieving the targets on municipal waste and landfill will represent an enormous challenge for councils. Our estimates show that current spending on waste by English authorities would need to increase significantly to include additional collection services (in particular organic waste) just to meet the existing 50</w:t>
      </w:r>
      <w:r w:rsidR="000E7FEB">
        <w:rPr>
          <w:rFonts w:eastAsia="Times New Roman" w:cs="Arial"/>
          <w:lang w:eastAsia="en-GB"/>
        </w:rPr>
        <w:t xml:space="preserve"> per cent</w:t>
      </w:r>
      <w:r w:rsidRPr="004E5FBE">
        <w:rPr>
          <w:rFonts w:eastAsia="Times New Roman" w:cs="Arial"/>
          <w:lang w:eastAsia="en-GB"/>
        </w:rPr>
        <w:t xml:space="preserve"> target. Increased levels of ambition in recycling performance will become progressively more expensive to achieve above the existing target level. Failure to reach the targets could lead to EU infraction fines.</w:t>
      </w:r>
    </w:p>
    <w:p w14:paraId="2D128375" w14:textId="77777777" w:rsidR="003D10AE" w:rsidRDefault="003D10AE" w:rsidP="005F6BEF">
      <w:pPr>
        <w:spacing w:after="0" w:line="240" w:lineRule="auto"/>
        <w:ind w:left="360" w:firstLine="0"/>
        <w:jc w:val="both"/>
        <w:rPr>
          <w:rFonts w:eastAsia="Times New Roman" w:cs="Arial"/>
          <w:lang w:eastAsia="en-GB"/>
        </w:rPr>
      </w:pPr>
    </w:p>
    <w:p w14:paraId="3A49F06D" w14:textId="0E23CB6A" w:rsidR="003D10AE" w:rsidRDefault="003D10AE" w:rsidP="004E5FBE">
      <w:pPr>
        <w:numPr>
          <w:ilvl w:val="0"/>
          <w:numId w:val="3"/>
        </w:numPr>
        <w:spacing w:after="0" w:line="240" w:lineRule="auto"/>
        <w:jc w:val="both"/>
        <w:rPr>
          <w:rFonts w:eastAsia="Times New Roman" w:cs="Arial"/>
          <w:lang w:eastAsia="en-GB"/>
        </w:rPr>
      </w:pPr>
      <w:r>
        <w:rPr>
          <w:rFonts w:eastAsia="Times New Roman" w:cs="Arial"/>
          <w:lang w:eastAsia="en-GB"/>
        </w:rPr>
        <w:t xml:space="preserve">An analysis of waste management in Wales is set out in </w:t>
      </w:r>
      <w:r w:rsidR="008C563B">
        <w:rPr>
          <w:rFonts w:eastAsia="Times New Roman" w:cs="Arial"/>
          <w:b/>
          <w:u w:val="single"/>
          <w:lang w:eastAsia="en-GB"/>
        </w:rPr>
        <w:t>A</w:t>
      </w:r>
      <w:r w:rsidRPr="000E7FEB">
        <w:rPr>
          <w:rFonts w:eastAsia="Times New Roman" w:cs="Arial"/>
          <w:b/>
          <w:u w:val="single"/>
          <w:lang w:eastAsia="en-GB"/>
        </w:rPr>
        <w:t>ppendix A</w:t>
      </w:r>
      <w:r>
        <w:rPr>
          <w:rFonts w:eastAsia="Times New Roman" w:cs="Arial"/>
          <w:lang w:eastAsia="en-GB"/>
        </w:rPr>
        <w:t xml:space="preserve"> to this report.</w:t>
      </w:r>
    </w:p>
    <w:p w14:paraId="41996608" w14:textId="77777777" w:rsidR="003D10AE" w:rsidRPr="004E5FBE" w:rsidRDefault="003D10AE" w:rsidP="005F6BEF">
      <w:pPr>
        <w:spacing w:after="0" w:line="240" w:lineRule="auto"/>
        <w:jc w:val="both"/>
        <w:rPr>
          <w:rFonts w:eastAsia="Times New Roman" w:cs="Arial"/>
          <w:lang w:eastAsia="en-GB"/>
        </w:rPr>
      </w:pPr>
    </w:p>
    <w:p w14:paraId="34EC11FB" w14:textId="77777777" w:rsidR="003D10AE" w:rsidRPr="008F609C" w:rsidRDefault="003D10AE" w:rsidP="003D10AE">
      <w:pPr>
        <w:spacing w:after="0" w:line="240" w:lineRule="auto"/>
        <w:ind w:left="0" w:firstLine="0"/>
        <w:jc w:val="both"/>
        <w:rPr>
          <w:rFonts w:eastAsia="Times New Roman" w:cs="Arial"/>
          <w:b/>
          <w:lang w:eastAsia="en-GB"/>
        </w:rPr>
      </w:pPr>
      <w:r w:rsidRPr="008F609C">
        <w:rPr>
          <w:rFonts w:eastAsia="Times New Roman" w:cs="Arial"/>
          <w:b/>
          <w:lang w:eastAsia="en-GB"/>
        </w:rPr>
        <w:t>Producer Responsibility</w:t>
      </w:r>
    </w:p>
    <w:p w14:paraId="5F7A9230" w14:textId="77777777" w:rsidR="003D10AE" w:rsidRPr="003D10AE" w:rsidRDefault="003D10AE" w:rsidP="003D10AE">
      <w:pPr>
        <w:spacing w:after="0" w:line="240" w:lineRule="auto"/>
        <w:ind w:left="0" w:firstLine="0"/>
        <w:jc w:val="both"/>
        <w:rPr>
          <w:rFonts w:eastAsia="Times New Roman" w:cs="Arial"/>
          <w:lang w:eastAsia="en-GB"/>
        </w:rPr>
      </w:pPr>
    </w:p>
    <w:p w14:paraId="7C472AA1" w14:textId="77777777" w:rsidR="003D10AE" w:rsidRDefault="003D10AE" w:rsidP="008F609C">
      <w:pPr>
        <w:pStyle w:val="ListParagraph"/>
        <w:numPr>
          <w:ilvl w:val="0"/>
          <w:numId w:val="3"/>
        </w:numPr>
        <w:spacing w:after="0" w:line="240" w:lineRule="auto"/>
        <w:jc w:val="both"/>
        <w:rPr>
          <w:rFonts w:eastAsia="Times New Roman" w:cs="Arial"/>
          <w:lang w:eastAsia="en-GB"/>
        </w:rPr>
      </w:pPr>
      <w:r w:rsidRPr="005F6BEF">
        <w:rPr>
          <w:rFonts w:eastAsia="Times New Roman" w:cs="Arial"/>
          <w:lang w:eastAsia="en-GB"/>
        </w:rPr>
        <w:t>The LGA has consistently lobbied for greater producer responsibility. The Clean Growth Strategy published in October 2017 contains a commitment to explore it. As part of the Litter Strategy, Defra has established the Voluntary and Economic Incentives Working Group. This independent group is tasked with examining specific voluntary and/or regulatory interventions that can reduce the incidence of commonly littered items and improve recycling and reuse of packaging. LARAC (Local Authority Recycling Advisory Committee) sits on this group on behalf of the sector. We have met with the LARAC representative to share our views.</w:t>
      </w:r>
    </w:p>
    <w:p w14:paraId="513B519B" w14:textId="77777777" w:rsidR="008F609C" w:rsidRDefault="008F609C" w:rsidP="008F609C">
      <w:pPr>
        <w:pStyle w:val="ListParagraph"/>
        <w:numPr>
          <w:ilvl w:val="0"/>
          <w:numId w:val="0"/>
        </w:numPr>
        <w:spacing w:after="0" w:line="240" w:lineRule="auto"/>
        <w:jc w:val="both"/>
        <w:rPr>
          <w:rFonts w:eastAsia="Times New Roman" w:cs="Arial"/>
          <w:lang w:eastAsia="en-GB"/>
        </w:rPr>
      </w:pPr>
    </w:p>
    <w:p w14:paraId="6BB68F88" w14:textId="77777777" w:rsidR="003D10AE" w:rsidRPr="005F6BEF" w:rsidRDefault="003D10AE" w:rsidP="005F6BEF">
      <w:pPr>
        <w:pStyle w:val="ListParagraph"/>
        <w:numPr>
          <w:ilvl w:val="0"/>
          <w:numId w:val="3"/>
        </w:numPr>
        <w:spacing w:after="0" w:line="240" w:lineRule="auto"/>
        <w:jc w:val="both"/>
        <w:rPr>
          <w:rFonts w:eastAsia="Times New Roman" w:cs="Arial"/>
          <w:lang w:eastAsia="en-GB"/>
        </w:rPr>
      </w:pPr>
      <w:r w:rsidRPr="005F6BEF">
        <w:rPr>
          <w:rFonts w:eastAsia="Times New Roman" w:cs="Arial"/>
          <w:lang w:eastAsia="en-GB"/>
        </w:rPr>
        <w:t>The group will undertake a series of investigations into different types of products and/or packaging that are commonly littered, many of which have an inherent value in terms of their materials. This is in the wider context of improving local environmental quality and potentially increasing recycling. As its first piece of work, Ministers have asked the Working Group to look at regulatory or voluntary measures to reduce littering and/or improve the recycling of drinks containers. The Working Group has specifically been asked to consider the advantages and disadvantages of different types of well-designed and well run deposit and reward and return schemes for drinks containers. The LGA has submitted a written response to the Working Group on this matter.</w:t>
      </w:r>
    </w:p>
    <w:p w14:paraId="55AD47A5" w14:textId="77777777" w:rsidR="003D10AE" w:rsidRPr="003D10AE" w:rsidRDefault="003D10AE" w:rsidP="003D10AE">
      <w:pPr>
        <w:spacing w:after="0" w:line="240" w:lineRule="auto"/>
        <w:ind w:left="0" w:firstLine="0"/>
        <w:jc w:val="both"/>
        <w:rPr>
          <w:rFonts w:eastAsia="Times New Roman" w:cs="Arial"/>
          <w:lang w:eastAsia="en-GB"/>
        </w:rPr>
      </w:pPr>
    </w:p>
    <w:p w14:paraId="73A26CDD" w14:textId="77777777" w:rsidR="003D10AE" w:rsidRPr="008F609C" w:rsidRDefault="003D10AE" w:rsidP="003D10AE">
      <w:pPr>
        <w:spacing w:after="0" w:line="240" w:lineRule="auto"/>
        <w:ind w:left="0" w:firstLine="0"/>
        <w:jc w:val="both"/>
        <w:rPr>
          <w:rFonts w:eastAsia="Times New Roman" w:cs="Arial"/>
          <w:b/>
          <w:lang w:eastAsia="en-GB"/>
        </w:rPr>
      </w:pPr>
      <w:proofErr w:type="spellStart"/>
      <w:r w:rsidRPr="008F609C">
        <w:rPr>
          <w:rFonts w:eastAsia="Times New Roman" w:cs="Arial"/>
          <w:b/>
          <w:lang w:eastAsia="en-GB"/>
        </w:rPr>
        <w:t>Incentivisation</w:t>
      </w:r>
      <w:proofErr w:type="spellEnd"/>
    </w:p>
    <w:p w14:paraId="39375804" w14:textId="77777777" w:rsidR="00D54B7C" w:rsidRDefault="00D54B7C" w:rsidP="003D10AE">
      <w:pPr>
        <w:spacing w:after="0" w:line="240" w:lineRule="auto"/>
        <w:ind w:left="0" w:firstLine="0"/>
        <w:jc w:val="both"/>
        <w:rPr>
          <w:rFonts w:eastAsia="Times New Roman" w:cs="Arial"/>
          <w:lang w:eastAsia="en-GB"/>
        </w:rPr>
      </w:pPr>
    </w:p>
    <w:p w14:paraId="1B386381" w14:textId="77777777" w:rsidR="003D10AE" w:rsidRPr="005F6BEF" w:rsidRDefault="003D10AE" w:rsidP="005F6BEF">
      <w:pPr>
        <w:pStyle w:val="ListParagraph"/>
        <w:numPr>
          <w:ilvl w:val="0"/>
          <w:numId w:val="3"/>
        </w:numPr>
        <w:spacing w:after="0" w:line="240" w:lineRule="auto"/>
        <w:jc w:val="both"/>
        <w:rPr>
          <w:rFonts w:eastAsia="Times New Roman" w:cs="Arial"/>
          <w:lang w:eastAsia="en-GB"/>
        </w:rPr>
      </w:pPr>
      <w:r w:rsidRPr="005F6BEF">
        <w:rPr>
          <w:rFonts w:eastAsia="Times New Roman" w:cs="Arial"/>
          <w:lang w:eastAsia="en-GB"/>
        </w:rPr>
        <w:t xml:space="preserve">There are a range of councils which are currently running their own </w:t>
      </w:r>
      <w:proofErr w:type="spellStart"/>
      <w:r w:rsidRPr="005F6BEF">
        <w:rPr>
          <w:rFonts w:eastAsia="Times New Roman" w:cs="Arial"/>
          <w:lang w:eastAsia="en-GB"/>
        </w:rPr>
        <w:t>incentivisation</w:t>
      </w:r>
      <w:proofErr w:type="spellEnd"/>
      <w:r w:rsidRPr="005F6BEF">
        <w:rPr>
          <w:rFonts w:eastAsia="Times New Roman" w:cs="Arial"/>
          <w:lang w:eastAsia="en-GB"/>
        </w:rPr>
        <w:t xml:space="preserve"> schemes. Bracknell Forest Council run a scheme where you earn points for putting the correct items into your recycling bin. Kingston Council are running a scheme for residents who live in flats. The scheme, provided by specialist sustainable rewards provider Local Green Points, will tackle household waste by rewarding residents with prizes and discounts at local businesses for wasting less and recycling more. The Borough of Windsor and Maidenhead award points according to the weight of the contents of citizens recycling bins.</w:t>
      </w:r>
    </w:p>
    <w:p w14:paraId="5D4DFB5E" w14:textId="77777777" w:rsidR="003D10AE" w:rsidRPr="003D10AE" w:rsidRDefault="003D10AE" w:rsidP="003D10AE">
      <w:pPr>
        <w:spacing w:after="0" w:line="240" w:lineRule="auto"/>
        <w:ind w:left="0" w:firstLine="0"/>
        <w:jc w:val="both"/>
        <w:rPr>
          <w:rFonts w:eastAsia="Times New Roman" w:cs="Arial"/>
          <w:lang w:eastAsia="en-GB"/>
        </w:rPr>
      </w:pPr>
    </w:p>
    <w:p w14:paraId="13B12522" w14:textId="77777777" w:rsidR="004E5FBE" w:rsidRPr="005F6BEF" w:rsidRDefault="003D10AE" w:rsidP="005F6BEF">
      <w:pPr>
        <w:pStyle w:val="ListParagraph"/>
        <w:numPr>
          <w:ilvl w:val="0"/>
          <w:numId w:val="3"/>
        </w:numPr>
        <w:spacing w:after="0" w:line="240" w:lineRule="auto"/>
        <w:jc w:val="both"/>
        <w:rPr>
          <w:rFonts w:eastAsia="Times New Roman" w:cs="Arial"/>
          <w:lang w:eastAsia="en-GB"/>
        </w:rPr>
      </w:pPr>
      <w:r w:rsidRPr="005F6BEF">
        <w:rPr>
          <w:rFonts w:eastAsia="Times New Roman" w:cs="Arial"/>
          <w:lang w:eastAsia="en-GB"/>
        </w:rPr>
        <w:t>DEFRA ran a reward and recognition fund project from 2011 to 2014. This project aimed to explore new approaches for rewarding and recognising people for adopting positive waste behaviours (food waste, recycling, reuse, waste prevention and reduction). From 2011 to 2014, up to £2 million of funding was made available to pilots led by local authorities, community organisat</w:t>
      </w:r>
      <w:r w:rsidR="008F609C">
        <w:rPr>
          <w:rFonts w:eastAsia="Times New Roman" w:cs="Arial"/>
          <w:lang w:eastAsia="en-GB"/>
        </w:rPr>
        <w:t>ions and partnerships. 25</w:t>
      </w:r>
      <w:r w:rsidRPr="005F6BEF">
        <w:rPr>
          <w:rFonts w:eastAsia="Times New Roman" w:cs="Arial"/>
          <w:lang w:eastAsia="en-GB"/>
        </w:rPr>
        <w:t xml:space="preserve"> organisations or partnerships received funding to deliver 31 pioneering schemes. All schemes aimed to engage and </w:t>
      </w:r>
      <w:r w:rsidRPr="005F6BEF">
        <w:rPr>
          <w:rFonts w:eastAsia="Times New Roman" w:cs="Arial"/>
          <w:lang w:eastAsia="en-GB"/>
        </w:rPr>
        <w:lastRenderedPageBreak/>
        <w:t>encourage people to recycle and reuse, using individual prize draws, individual rewards, community rewards, competitions and recognition. However, an independent review of the project concluded that “schemes did not experience a sea change in recycling tonnage, participation or claimed behaviour”.</w:t>
      </w:r>
    </w:p>
    <w:p w14:paraId="0DEA56FB" w14:textId="77777777" w:rsidR="00D54B7C" w:rsidRDefault="00D54B7C" w:rsidP="004E5FBE">
      <w:pPr>
        <w:spacing w:after="0" w:line="240" w:lineRule="auto"/>
        <w:ind w:left="0" w:firstLine="0"/>
        <w:jc w:val="both"/>
        <w:rPr>
          <w:rFonts w:eastAsia="Times New Roman" w:cs="Arial"/>
          <w:b/>
          <w:lang w:eastAsia="en-GB"/>
        </w:rPr>
      </w:pPr>
    </w:p>
    <w:p w14:paraId="7217958D" w14:textId="77777777" w:rsidR="004E5FBE" w:rsidRPr="004E5FBE" w:rsidRDefault="00357A7D" w:rsidP="004E5FBE">
      <w:pPr>
        <w:spacing w:after="0" w:line="240" w:lineRule="auto"/>
        <w:ind w:left="0" w:firstLine="0"/>
        <w:jc w:val="both"/>
        <w:rPr>
          <w:rFonts w:eastAsia="Times New Roman" w:cs="Arial"/>
          <w:b/>
          <w:lang w:eastAsia="en-GB"/>
        </w:rPr>
      </w:pPr>
      <w:r>
        <w:rPr>
          <w:rFonts w:eastAsia="Times New Roman" w:cs="Arial"/>
          <w:b/>
          <w:lang w:eastAsia="en-GB"/>
        </w:rPr>
        <w:t xml:space="preserve">LGA </w:t>
      </w:r>
      <w:r w:rsidR="004E5FBE" w:rsidRPr="004E5FBE">
        <w:rPr>
          <w:rFonts w:eastAsia="Times New Roman" w:cs="Arial"/>
          <w:b/>
          <w:lang w:eastAsia="en-GB"/>
        </w:rPr>
        <w:t>Position</w:t>
      </w:r>
    </w:p>
    <w:p w14:paraId="0DD12F2C" w14:textId="77777777" w:rsidR="004E5FBE" w:rsidRPr="004E5FBE" w:rsidRDefault="004E5FBE" w:rsidP="004E5FBE">
      <w:pPr>
        <w:spacing w:after="0" w:line="240" w:lineRule="auto"/>
        <w:ind w:left="0" w:firstLine="0"/>
        <w:jc w:val="both"/>
        <w:rPr>
          <w:rFonts w:eastAsia="Times New Roman" w:cs="Arial"/>
          <w:lang w:eastAsia="en-GB"/>
        </w:rPr>
      </w:pPr>
    </w:p>
    <w:p w14:paraId="2D0B62A8" w14:textId="77777777" w:rsidR="004E5FBE" w:rsidRPr="004E5FBE" w:rsidRDefault="004E5FBE" w:rsidP="004E5FBE">
      <w:pPr>
        <w:numPr>
          <w:ilvl w:val="0"/>
          <w:numId w:val="3"/>
        </w:numPr>
        <w:spacing w:after="0" w:line="240" w:lineRule="auto"/>
        <w:jc w:val="both"/>
        <w:rPr>
          <w:rFonts w:eastAsia="Times New Roman" w:cs="Arial"/>
          <w:lang w:eastAsia="en-GB"/>
        </w:rPr>
      </w:pPr>
      <w:r w:rsidRPr="004E5FBE">
        <w:rPr>
          <w:rFonts w:eastAsia="Times New Roman" w:cs="Arial"/>
          <w:lang w:eastAsia="en-GB"/>
        </w:rPr>
        <w:t>The LGA has supported councils as they have worked towards achieving these targets. Our lobbying work has focussed on highlighting the need for additional funding in order to meet the ambitious targets set by the EU. We have suggested resourcing these services via redistribution of landfill taxes and also stressed the need for greater producer responsibility to be part of the Government’s approach.</w:t>
      </w:r>
    </w:p>
    <w:p w14:paraId="28D49F4C" w14:textId="77777777" w:rsidR="004E5FBE" w:rsidRPr="004E5FBE" w:rsidRDefault="004E5FBE" w:rsidP="004E5FBE">
      <w:pPr>
        <w:spacing w:after="0" w:line="240" w:lineRule="auto"/>
        <w:ind w:left="360" w:firstLine="0"/>
        <w:jc w:val="both"/>
        <w:rPr>
          <w:rFonts w:eastAsia="Times New Roman" w:cs="Arial"/>
          <w:lang w:eastAsia="en-GB"/>
        </w:rPr>
      </w:pPr>
    </w:p>
    <w:p w14:paraId="7F260D28" w14:textId="77777777" w:rsidR="00285F08" w:rsidRDefault="004E5FBE" w:rsidP="00285F08">
      <w:pPr>
        <w:numPr>
          <w:ilvl w:val="0"/>
          <w:numId w:val="3"/>
        </w:numPr>
        <w:spacing w:after="0" w:line="240" w:lineRule="auto"/>
        <w:jc w:val="both"/>
        <w:rPr>
          <w:rFonts w:eastAsia="Times New Roman" w:cs="Arial"/>
          <w:color w:val="444444"/>
          <w:sz w:val="21"/>
          <w:szCs w:val="21"/>
          <w:lang w:val="en" w:eastAsia="en-GB"/>
        </w:rPr>
      </w:pPr>
      <w:r w:rsidRPr="004E5FBE">
        <w:rPr>
          <w:rFonts w:eastAsia="Times New Roman" w:cs="Arial"/>
          <w:lang w:eastAsia="en-GB"/>
        </w:rPr>
        <w:t>It is generally accepted by local government that the steer from Europe on waste and recycling targets has been helpful as it has driven up performance across most of Europe. However, it is clear that as a nation we may fail to meet the 2020 target. Whether this would mean councils facing infraction charges will depend on the terms of the EU exit deal and any related tra</w:t>
      </w:r>
      <w:r w:rsidR="00496AEC">
        <w:rPr>
          <w:rFonts w:eastAsia="Times New Roman" w:cs="Arial"/>
          <w:lang w:eastAsia="en-GB"/>
        </w:rPr>
        <w:t>nsition period.</w:t>
      </w:r>
      <w:r w:rsidRPr="004E5FBE">
        <w:rPr>
          <w:rFonts w:eastAsia="Times New Roman" w:cs="Arial"/>
          <w:lang w:eastAsia="en-GB"/>
        </w:rPr>
        <w:t xml:space="preserve"> As we are now s</w:t>
      </w:r>
      <w:r w:rsidR="007816A2">
        <w:rPr>
          <w:rFonts w:eastAsia="Times New Roman" w:cs="Arial"/>
          <w:lang w:eastAsia="en-GB"/>
        </w:rPr>
        <w:t>et to exit the EU Members have decided that we should review</w:t>
      </w:r>
      <w:r w:rsidRPr="004E5FBE">
        <w:rPr>
          <w:rFonts w:eastAsia="Times New Roman" w:cs="Arial"/>
          <w:lang w:eastAsia="en-GB"/>
        </w:rPr>
        <w:t xml:space="preserve"> our approach to waste and recycling policy so that</w:t>
      </w:r>
      <w:r w:rsidR="00774144">
        <w:rPr>
          <w:rFonts w:eastAsia="Times New Roman" w:cs="Arial"/>
          <w:lang w:eastAsia="en-GB"/>
        </w:rPr>
        <w:t xml:space="preserve"> the LGA can lead on shaping</w:t>
      </w:r>
      <w:r w:rsidRPr="004E5FBE">
        <w:rPr>
          <w:rFonts w:eastAsia="Times New Roman" w:cs="Arial"/>
          <w:lang w:eastAsia="en-GB"/>
        </w:rPr>
        <w:t xml:space="preserve"> future direction.</w:t>
      </w:r>
      <w:r w:rsidR="006E4926">
        <w:rPr>
          <w:rFonts w:eastAsia="Times New Roman" w:cs="Arial"/>
          <w:color w:val="444444"/>
          <w:sz w:val="21"/>
          <w:szCs w:val="21"/>
          <w:lang w:val="en" w:eastAsia="en-GB"/>
        </w:rPr>
        <w:t xml:space="preserve"> </w:t>
      </w:r>
    </w:p>
    <w:p w14:paraId="62A6D42F" w14:textId="77777777" w:rsidR="00285F08" w:rsidRDefault="00285F08" w:rsidP="009125B9">
      <w:pPr>
        <w:pStyle w:val="ListParagraph"/>
        <w:numPr>
          <w:ilvl w:val="0"/>
          <w:numId w:val="0"/>
        </w:numPr>
        <w:spacing w:after="0"/>
        <w:ind w:left="357"/>
        <w:rPr>
          <w:rFonts w:eastAsia="Times New Roman" w:cs="Arial"/>
          <w:lang w:val="en" w:eastAsia="en-GB"/>
        </w:rPr>
      </w:pPr>
    </w:p>
    <w:p w14:paraId="5D34AE61" w14:textId="725843C8" w:rsidR="00285F08" w:rsidRPr="000C3807" w:rsidRDefault="006E4926" w:rsidP="000C3807">
      <w:pPr>
        <w:numPr>
          <w:ilvl w:val="0"/>
          <w:numId w:val="3"/>
        </w:numPr>
        <w:spacing w:after="0" w:line="240" w:lineRule="auto"/>
        <w:jc w:val="both"/>
        <w:rPr>
          <w:rFonts w:eastAsia="Times New Roman" w:cs="Arial"/>
          <w:color w:val="444444"/>
          <w:sz w:val="21"/>
          <w:szCs w:val="21"/>
          <w:lang w:val="en" w:eastAsia="en-GB"/>
        </w:rPr>
      </w:pPr>
      <w:r w:rsidRPr="00285F08">
        <w:rPr>
          <w:rFonts w:eastAsia="Times New Roman" w:cs="Arial"/>
          <w:lang w:val="en" w:eastAsia="en-GB"/>
        </w:rPr>
        <w:t>At t</w:t>
      </w:r>
      <w:r w:rsidR="007816A2" w:rsidRPr="00285F08">
        <w:rPr>
          <w:rFonts w:eastAsia="Times New Roman" w:cs="Arial"/>
          <w:lang w:val="en" w:eastAsia="en-GB"/>
        </w:rPr>
        <w:t>he July meeting of the EE</w:t>
      </w:r>
      <w:r w:rsidR="00DA37D1" w:rsidRPr="00285F08">
        <w:rPr>
          <w:rFonts w:eastAsia="Times New Roman" w:cs="Arial"/>
          <w:lang w:val="en" w:eastAsia="en-GB"/>
        </w:rPr>
        <w:t>HT Board, members invited specialist speakers along for</w:t>
      </w:r>
      <w:r w:rsidR="007816A2" w:rsidRPr="00285F08">
        <w:rPr>
          <w:rFonts w:eastAsia="Times New Roman" w:cs="Arial"/>
          <w:lang w:val="en" w:eastAsia="en-GB"/>
        </w:rPr>
        <w:t xml:space="preserve"> a discussion about future policy direction.</w:t>
      </w:r>
      <w:r w:rsidR="00DA37D1" w:rsidRPr="00285F08">
        <w:rPr>
          <w:rFonts w:eastAsia="Times New Roman" w:cs="Arial"/>
          <w:lang w:val="en" w:eastAsia="en-GB"/>
        </w:rPr>
        <w:t xml:space="preserve"> The key conclusions were</w:t>
      </w:r>
      <w:r w:rsidR="00DA37D1" w:rsidRPr="00285F08">
        <w:rPr>
          <w:rFonts w:eastAsia="Times New Roman" w:cs="Arial"/>
          <w:color w:val="444444"/>
          <w:lang w:val="en" w:eastAsia="en-GB"/>
        </w:rPr>
        <w:t>:</w:t>
      </w:r>
    </w:p>
    <w:p w14:paraId="5E26B19C" w14:textId="77777777" w:rsidR="00285F08" w:rsidRPr="00285F08" w:rsidRDefault="00285F08" w:rsidP="00285F08">
      <w:pPr>
        <w:spacing w:after="0" w:line="240" w:lineRule="auto"/>
        <w:ind w:firstLine="0"/>
        <w:jc w:val="both"/>
        <w:rPr>
          <w:rFonts w:eastAsia="Times New Roman" w:cs="Arial"/>
          <w:color w:val="444444"/>
          <w:sz w:val="21"/>
          <w:szCs w:val="21"/>
          <w:lang w:val="en" w:eastAsia="en-GB"/>
        </w:rPr>
      </w:pPr>
    </w:p>
    <w:p w14:paraId="0F6FA26B" w14:textId="5CF35967" w:rsidR="009125B9" w:rsidRPr="009125B9" w:rsidRDefault="009125B9" w:rsidP="009125B9">
      <w:pPr>
        <w:numPr>
          <w:ilvl w:val="1"/>
          <w:numId w:val="3"/>
        </w:numPr>
        <w:spacing w:after="0" w:line="240" w:lineRule="auto"/>
        <w:ind w:hanging="567"/>
        <w:jc w:val="both"/>
        <w:rPr>
          <w:rFonts w:eastAsia="Times New Roman" w:cs="Arial"/>
          <w:lang w:val="en" w:eastAsia="en-GB"/>
        </w:rPr>
      </w:pPr>
      <w:r w:rsidRPr="009125B9">
        <w:rPr>
          <w:rFonts w:eastAsia="Times New Roman" w:cs="Arial"/>
          <w:lang w:val="en" w:eastAsia="en-GB"/>
        </w:rPr>
        <w:t xml:space="preserve">The current focus on recycling targets was potentially limiting. Broader consideration needed to be given to the concept of waste </w:t>
      </w:r>
      <w:proofErr w:type="spellStart"/>
      <w:r w:rsidRPr="009125B9">
        <w:rPr>
          <w:rFonts w:eastAsia="Times New Roman" w:cs="Arial"/>
          <w:lang w:val="en" w:eastAsia="en-GB"/>
        </w:rPr>
        <w:t>minimisation</w:t>
      </w:r>
      <w:proofErr w:type="spellEnd"/>
      <w:r w:rsidRPr="009125B9">
        <w:rPr>
          <w:rFonts w:eastAsia="Times New Roman" w:cs="Arial"/>
          <w:lang w:val="en" w:eastAsia="en-GB"/>
        </w:rPr>
        <w:t>.</w:t>
      </w:r>
    </w:p>
    <w:p w14:paraId="7EB9A346" w14:textId="77777777" w:rsidR="009125B9" w:rsidRPr="009125B9" w:rsidRDefault="009125B9" w:rsidP="009125B9">
      <w:pPr>
        <w:spacing w:after="0" w:line="240" w:lineRule="auto"/>
        <w:ind w:left="1021" w:firstLine="0"/>
        <w:jc w:val="both"/>
        <w:rPr>
          <w:rFonts w:eastAsia="Times New Roman" w:cs="Arial"/>
          <w:color w:val="444444"/>
          <w:sz w:val="21"/>
          <w:szCs w:val="21"/>
          <w:lang w:val="en" w:eastAsia="en-GB"/>
        </w:rPr>
      </w:pPr>
    </w:p>
    <w:p w14:paraId="598D17D4" w14:textId="77777777" w:rsidR="00285F08" w:rsidRPr="00285F08" w:rsidRDefault="00E25D08" w:rsidP="009125B9">
      <w:pPr>
        <w:numPr>
          <w:ilvl w:val="1"/>
          <w:numId w:val="3"/>
        </w:numPr>
        <w:spacing w:after="0" w:line="240" w:lineRule="auto"/>
        <w:ind w:hanging="567"/>
        <w:jc w:val="both"/>
        <w:rPr>
          <w:rFonts w:eastAsia="Times New Roman" w:cs="Arial"/>
          <w:color w:val="444444"/>
          <w:sz w:val="21"/>
          <w:szCs w:val="21"/>
          <w:lang w:val="en" w:eastAsia="en-GB"/>
        </w:rPr>
      </w:pPr>
      <w:r w:rsidRPr="00285F08">
        <w:rPr>
          <w:rFonts w:cs="Arial"/>
        </w:rPr>
        <w:t>The Board wanted to consider what a new set of potential waste and recycling measures could look like in the future</w:t>
      </w:r>
      <w:r w:rsidR="008C563B" w:rsidRPr="00285F08">
        <w:rPr>
          <w:rFonts w:cs="Arial"/>
        </w:rPr>
        <w:t>.</w:t>
      </w:r>
    </w:p>
    <w:p w14:paraId="0D78947A" w14:textId="77777777" w:rsidR="00285F08" w:rsidRDefault="00285F08" w:rsidP="009125B9">
      <w:pPr>
        <w:spacing w:after="0" w:line="240" w:lineRule="auto"/>
        <w:ind w:left="792" w:hanging="567"/>
        <w:jc w:val="both"/>
        <w:rPr>
          <w:rFonts w:eastAsia="Times New Roman" w:cs="Arial"/>
          <w:color w:val="444444"/>
          <w:sz w:val="21"/>
          <w:szCs w:val="21"/>
          <w:lang w:val="en" w:eastAsia="en-GB"/>
        </w:rPr>
      </w:pPr>
    </w:p>
    <w:p w14:paraId="5E00707F" w14:textId="77777777" w:rsidR="00285F08" w:rsidRPr="00285F08" w:rsidRDefault="00DA37D1" w:rsidP="009125B9">
      <w:pPr>
        <w:numPr>
          <w:ilvl w:val="1"/>
          <w:numId w:val="3"/>
        </w:numPr>
        <w:spacing w:after="0" w:line="240" w:lineRule="auto"/>
        <w:ind w:hanging="567"/>
        <w:jc w:val="both"/>
        <w:rPr>
          <w:rFonts w:eastAsia="Times New Roman" w:cs="Arial"/>
          <w:color w:val="444444"/>
          <w:sz w:val="21"/>
          <w:szCs w:val="21"/>
          <w:lang w:val="en" w:eastAsia="en-GB"/>
        </w:rPr>
      </w:pPr>
      <w:r w:rsidRPr="00285F08">
        <w:rPr>
          <w:rFonts w:cs="Arial"/>
        </w:rPr>
        <w:t>The LGA should continue to lobby on producer responsibility</w:t>
      </w:r>
      <w:r w:rsidR="008C563B" w:rsidRPr="00285F08">
        <w:rPr>
          <w:rFonts w:cs="Arial"/>
        </w:rPr>
        <w:t>.</w:t>
      </w:r>
    </w:p>
    <w:p w14:paraId="14D538D1" w14:textId="77777777" w:rsidR="00285F08" w:rsidRDefault="00285F08" w:rsidP="009125B9">
      <w:pPr>
        <w:spacing w:after="0" w:line="240" w:lineRule="auto"/>
        <w:ind w:left="792" w:hanging="567"/>
        <w:jc w:val="both"/>
        <w:rPr>
          <w:rFonts w:eastAsia="Times New Roman" w:cs="Arial"/>
          <w:color w:val="444444"/>
          <w:sz w:val="21"/>
          <w:szCs w:val="21"/>
          <w:lang w:val="en" w:eastAsia="en-GB"/>
        </w:rPr>
      </w:pPr>
    </w:p>
    <w:p w14:paraId="1B783DAC" w14:textId="77777777" w:rsidR="00285F08" w:rsidRPr="00285F08" w:rsidRDefault="00DA37D1" w:rsidP="009125B9">
      <w:pPr>
        <w:numPr>
          <w:ilvl w:val="1"/>
          <w:numId w:val="3"/>
        </w:numPr>
        <w:spacing w:after="0" w:line="240" w:lineRule="auto"/>
        <w:ind w:hanging="567"/>
        <w:jc w:val="both"/>
        <w:rPr>
          <w:rFonts w:eastAsia="Times New Roman" w:cs="Arial"/>
          <w:color w:val="444444"/>
          <w:sz w:val="21"/>
          <w:szCs w:val="21"/>
          <w:lang w:val="en" w:eastAsia="en-GB"/>
        </w:rPr>
      </w:pPr>
      <w:r w:rsidRPr="00285F08">
        <w:rPr>
          <w:rFonts w:cs="Arial"/>
        </w:rPr>
        <w:t xml:space="preserve">A national resource management strategy </w:t>
      </w:r>
      <w:r w:rsidR="00E25D08" w:rsidRPr="00285F08">
        <w:rPr>
          <w:rFonts w:cs="Arial"/>
        </w:rPr>
        <w:t>was needed from central government. This strategy needed to provide a national vision for</w:t>
      </w:r>
      <w:r w:rsidRPr="00285F08">
        <w:rPr>
          <w:rFonts w:cs="Arial"/>
        </w:rPr>
        <w:t xml:space="preserve"> waste and recycling </w:t>
      </w:r>
      <w:r w:rsidR="00E25D08" w:rsidRPr="00285F08">
        <w:rPr>
          <w:rFonts w:cs="Arial"/>
        </w:rPr>
        <w:t>infrastructure</w:t>
      </w:r>
      <w:r w:rsidR="008C563B" w:rsidRPr="00285F08">
        <w:rPr>
          <w:rFonts w:cs="Arial"/>
        </w:rPr>
        <w:t>.</w:t>
      </w:r>
    </w:p>
    <w:p w14:paraId="12D2307D" w14:textId="77777777" w:rsidR="00285F08" w:rsidRDefault="00285F08" w:rsidP="009125B9">
      <w:pPr>
        <w:spacing w:after="0" w:line="240" w:lineRule="auto"/>
        <w:ind w:left="792" w:hanging="567"/>
        <w:jc w:val="both"/>
        <w:rPr>
          <w:rFonts w:eastAsia="Times New Roman" w:cs="Arial"/>
          <w:color w:val="444444"/>
          <w:sz w:val="21"/>
          <w:szCs w:val="21"/>
          <w:lang w:val="en" w:eastAsia="en-GB"/>
        </w:rPr>
      </w:pPr>
    </w:p>
    <w:p w14:paraId="10F5F598" w14:textId="77777777" w:rsidR="00285F08" w:rsidRDefault="002715C7" w:rsidP="009125B9">
      <w:pPr>
        <w:numPr>
          <w:ilvl w:val="1"/>
          <w:numId w:val="3"/>
        </w:numPr>
        <w:spacing w:after="0" w:line="240" w:lineRule="auto"/>
        <w:ind w:hanging="567"/>
        <w:jc w:val="both"/>
        <w:rPr>
          <w:rFonts w:eastAsia="Times New Roman" w:cs="Arial"/>
          <w:color w:val="444444"/>
          <w:sz w:val="21"/>
          <w:szCs w:val="21"/>
          <w:lang w:val="en" w:eastAsia="en-GB"/>
        </w:rPr>
      </w:pPr>
      <w:r w:rsidRPr="00285F08">
        <w:rPr>
          <w:rFonts w:cs="Arial"/>
        </w:rPr>
        <w:t>A n</w:t>
      </w:r>
      <w:r w:rsidR="00DA37D1" w:rsidRPr="00285F08">
        <w:rPr>
          <w:rFonts w:cs="Arial"/>
        </w:rPr>
        <w:t xml:space="preserve">ational direction </w:t>
      </w:r>
      <w:r w:rsidRPr="00285F08">
        <w:rPr>
          <w:rFonts w:cs="Arial"/>
        </w:rPr>
        <w:t xml:space="preserve">needs to be set </w:t>
      </w:r>
      <w:r w:rsidR="00DA37D1" w:rsidRPr="00285F08">
        <w:rPr>
          <w:rFonts w:cs="Arial"/>
        </w:rPr>
        <w:t>which enables us to have freedom to make decisions locally to deliver improved outcomes</w:t>
      </w:r>
      <w:r w:rsidR="008C563B" w:rsidRPr="00285F08">
        <w:rPr>
          <w:rFonts w:cs="Arial"/>
        </w:rPr>
        <w:t>.</w:t>
      </w:r>
    </w:p>
    <w:p w14:paraId="6BFD1AA7" w14:textId="77777777" w:rsidR="00285F08" w:rsidRDefault="00285F08" w:rsidP="00285F08">
      <w:pPr>
        <w:spacing w:after="0" w:line="240" w:lineRule="auto"/>
        <w:ind w:left="792" w:firstLine="0"/>
        <w:jc w:val="both"/>
        <w:rPr>
          <w:rFonts w:eastAsia="Times New Roman" w:cs="Arial"/>
          <w:color w:val="444444"/>
          <w:sz w:val="21"/>
          <w:szCs w:val="21"/>
          <w:lang w:val="en" w:eastAsia="en-GB"/>
        </w:rPr>
      </w:pPr>
    </w:p>
    <w:p w14:paraId="48E096F8" w14:textId="77777777" w:rsidR="00285F08" w:rsidRPr="00285F08" w:rsidRDefault="00E25D08" w:rsidP="00285F08">
      <w:pPr>
        <w:numPr>
          <w:ilvl w:val="0"/>
          <w:numId w:val="3"/>
        </w:numPr>
        <w:spacing w:after="0" w:line="240" w:lineRule="auto"/>
        <w:jc w:val="both"/>
        <w:rPr>
          <w:rFonts w:eastAsia="Times New Roman" w:cs="Arial"/>
          <w:color w:val="444444"/>
          <w:sz w:val="21"/>
          <w:szCs w:val="21"/>
          <w:lang w:val="en" w:eastAsia="en-GB"/>
        </w:rPr>
      </w:pPr>
      <w:r w:rsidRPr="00285F08">
        <w:rPr>
          <w:rFonts w:cs="Arial"/>
        </w:rPr>
        <w:t>Following on from this discuss</w:t>
      </w:r>
      <w:r w:rsidR="004230C1" w:rsidRPr="00285F08">
        <w:rPr>
          <w:rFonts w:cs="Arial"/>
        </w:rPr>
        <w:t xml:space="preserve">ion it was agreed that </w:t>
      </w:r>
      <w:r w:rsidRPr="00285F08">
        <w:rPr>
          <w:rFonts w:cs="Arial"/>
        </w:rPr>
        <w:t xml:space="preserve">work would be undertaken to present members </w:t>
      </w:r>
      <w:bookmarkStart w:id="1" w:name="_GoBack"/>
      <w:bookmarkEnd w:id="1"/>
      <w:r w:rsidRPr="00285F08">
        <w:rPr>
          <w:rFonts w:cs="Arial"/>
        </w:rPr>
        <w:t xml:space="preserve">with alternative options for how waste could be measured in the future. The consultants Eunomia have been appointed </w:t>
      </w:r>
      <w:r w:rsidR="002715C7" w:rsidRPr="00285F08">
        <w:rPr>
          <w:rFonts w:cs="Arial"/>
        </w:rPr>
        <w:t>to undertake this work.</w:t>
      </w:r>
      <w:r w:rsidR="00425C01" w:rsidRPr="00285F08">
        <w:rPr>
          <w:rFonts w:cs="Arial"/>
        </w:rPr>
        <w:t xml:space="preserve"> The Eunomia report </w:t>
      </w:r>
      <w:r w:rsidR="00C813EA" w:rsidRPr="00285F08">
        <w:rPr>
          <w:rFonts w:cs="Arial"/>
        </w:rPr>
        <w:t>focusses on</w:t>
      </w:r>
      <w:r w:rsidR="00425C01" w:rsidRPr="00285F08">
        <w:rPr>
          <w:rFonts w:cs="Arial"/>
        </w:rPr>
        <w:t>:</w:t>
      </w:r>
    </w:p>
    <w:p w14:paraId="677376E1" w14:textId="77777777" w:rsidR="00285F08" w:rsidRDefault="00285F08" w:rsidP="00285F08">
      <w:pPr>
        <w:spacing w:after="0" w:line="240" w:lineRule="auto"/>
        <w:ind w:left="360" w:firstLine="0"/>
        <w:jc w:val="both"/>
        <w:rPr>
          <w:rFonts w:eastAsia="Times New Roman" w:cs="Arial"/>
          <w:color w:val="444444"/>
          <w:sz w:val="21"/>
          <w:szCs w:val="21"/>
          <w:lang w:val="en" w:eastAsia="en-GB"/>
        </w:rPr>
      </w:pPr>
    </w:p>
    <w:p w14:paraId="14292802" w14:textId="77777777" w:rsidR="00285F08" w:rsidRPr="00285F08" w:rsidRDefault="00C813EA" w:rsidP="00285F08">
      <w:pPr>
        <w:numPr>
          <w:ilvl w:val="1"/>
          <w:numId w:val="3"/>
        </w:numPr>
        <w:spacing w:after="0" w:line="240" w:lineRule="auto"/>
        <w:ind w:left="357" w:firstLine="0"/>
        <w:jc w:val="both"/>
        <w:rPr>
          <w:rFonts w:eastAsia="Times New Roman" w:cs="Arial"/>
          <w:color w:val="444444"/>
          <w:sz w:val="21"/>
          <w:szCs w:val="21"/>
          <w:lang w:val="en" w:eastAsia="en-GB"/>
        </w:rPr>
      </w:pPr>
      <w:r w:rsidRPr="00285F08">
        <w:rPr>
          <w:rFonts w:cs="Arial"/>
        </w:rPr>
        <w:t>Providing an indication about what the longer term future is for waste management</w:t>
      </w:r>
      <w:r w:rsidR="008C563B" w:rsidRPr="00285F08">
        <w:rPr>
          <w:rFonts w:cs="Arial"/>
        </w:rPr>
        <w:t>.</w:t>
      </w:r>
    </w:p>
    <w:p w14:paraId="62C78EC2" w14:textId="77777777" w:rsidR="00285F08" w:rsidRDefault="00285F08" w:rsidP="00285F08">
      <w:pPr>
        <w:spacing w:after="0" w:line="240" w:lineRule="auto"/>
        <w:ind w:firstLine="0"/>
        <w:jc w:val="both"/>
        <w:rPr>
          <w:rFonts w:eastAsia="Times New Roman" w:cs="Arial"/>
          <w:color w:val="444444"/>
          <w:sz w:val="21"/>
          <w:szCs w:val="21"/>
          <w:lang w:val="en" w:eastAsia="en-GB"/>
        </w:rPr>
      </w:pPr>
    </w:p>
    <w:p w14:paraId="6C0747A9" w14:textId="77777777" w:rsidR="00285F08" w:rsidRPr="00285F08" w:rsidRDefault="00C813EA" w:rsidP="00285F08">
      <w:pPr>
        <w:numPr>
          <w:ilvl w:val="1"/>
          <w:numId w:val="3"/>
        </w:numPr>
        <w:spacing w:after="0" w:line="240" w:lineRule="auto"/>
        <w:ind w:left="357" w:firstLine="0"/>
        <w:jc w:val="both"/>
        <w:rPr>
          <w:rFonts w:eastAsia="Times New Roman" w:cs="Arial"/>
          <w:color w:val="444444"/>
          <w:sz w:val="21"/>
          <w:szCs w:val="21"/>
          <w:lang w:val="en" w:eastAsia="en-GB"/>
        </w:rPr>
      </w:pPr>
      <w:r w:rsidRPr="00285F08">
        <w:rPr>
          <w:rFonts w:cs="Arial"/>
        </w:rPr>
        <w:t>Analysis of the current framework and its strengths and weaknesses</w:t>
      </w:r>
      <w:r w:rsidR="008C563B" w:rsidRPr="00285F08">
        <w:rPr>
          <w:rFonts w:cs="Arial"/>
        </w:rPr>
        <w:t>.</w:t>
      </w:r>
    </w:p>
    <w:p w14:paraId="0980D0D7" w14:textId="77777777" w:rsidR="00285F08" w:rsidRDefault="00285F08" w:rsidP="009125B9">
      <w:pPr>
        <w:pStyle w:val="ListParagraph"/>
        <w:numPr>
          <w:ilvl w:val="0"/>
          <w:numId w:val="0"/>
        </w:numPr>
        <w:spacing w:after="0"/>
        <w:ind w:left="357"/>
        <w:rPr>
          <w:rFonts w:eastAsia="Times New Roman" w:cs="Arial"/>
          <w:color w:val="444444"/>
          <w:sz w:val="21"/>
          <w:szCs w:val="21"/>
          <w:lang w:val="en" w:eastAsia="en-GB"/>
        </w:rPr>
      </w:pPr>
    </w:p>
    <w:p w14:paraId="233D2058" w14:textId="77777777" w:rsidR="00285F08" w:rsidRPr="00285F08" w:rsidRDefault="00C813EA" w:rsidP="00285F08">
      <w:pPr>
        <w:numPr>
          <w:ilvl w:val="1"/>
          <w:numId w:val="3"/>
        </w:numPr>
        <w:spacing w:after="0" w:line="240" w:lineRule="auto"/>
        <w:ind w:left="357" w:firstLine="0"/>
        <w:jc w:val="both"/>
        <w:rPr>
          <w:rFonts w:eastAsia="Times New Roman" w:cs="Arial"/>
          <w:color w:val="444444"/>
          <w:sz w:val="21"/>
          <w:szCs w:val="21"/>
          <w:lang w:val="en" w:eastAsia="en-GB"/>
        </w:rPr>
      </w:pPr>
      <w:r w:rsidRPr="00285F08">
        <w:rPr>
          <w:rFonts w:cs="Arial"/>
        </w:rPr>
        <w:t>Directly addressing the concept of residual waste</w:t>
      </w:r>
      <w:r w:rsidR="008C563B" w:rsidRPr="00285F08">
        <w:rPr>
          <w:rFonts w:cs="Arial"/>
        </w:rPr>
        <w:t>.</w:t>
      </w:r>
    </w:p>
    <w:p w14:paraId="2DD875E3" w14:textId="77777777" w:rsidR="00285F08" w:rsidRDefault="00285F08" w:rsidP="00285F08">
      <w:pPr>
        <w:spacing w:after="0" w:line="240" w:lineRule="auto"/>
        <w:ind w:firstLine="0"/>
        <w:jc w:val="both"/>
        <w:rPr>
          <w:rFonts w:eastAsia="Times New Roman" w:cs="Arial"/>
          <w:color w:val="444444"/>
          <w:sz w:val="21"/>
          <w:szCs w:val="21"/>
          <w:lang w:val="en" w:eastAsia="en-GB"/>
        </w:rPr>
      </w:pPr>
    </w:p>
    <w:p w14:paraId="0E8F2131" w14:textId="77777777" w:rsidR="00285F08" w:rsidRPr="00285F08" w:rsidRDefault="00C813EA" w:rsidP="00285F08">
      <w:pPr>
        <w:numPr>
          <w:ilvl w:val="1"/>
          <w:numId w:val="3"/>
        </w:numPr>
        <w:spacing w:after="0" w:line="240" w:lineRule="auto"/>
        <w:ind w:left="357" w:firstLine="0"/>
        <w:jc w:val="both"/>
        <w:rPr>
          <w:rFonts w:eastAsia="Times New Roman" w:cs="Arial"/>
          <w:color w:val="444444"/>
          <w:sz w:val="21"/>
          <w:szCs w:val="21"/>
          <w:lang w:val="en" w:eastAsia="en-GB"/>
        </w:rPr>
      </w:pPr>
      <w:r w:rsidRPr="00285F08">
        <w:rPr>
          <w:rFonts w:cs="Arial"/>
        </w:rPr>
        <w:lastRenderedPageBreak/>
        <w:t>Examples of alternative frameworks for the sector to measure waste management</w:t>
      </w:r>
      <w:r w:rsidR="008C563B" w:rsidRPr="00285F08">
        <w:rPr>
          <w:rFonts w:cs="Arial"/>
        </w:rPr>
        <w:t>.</w:t>
      </w:r>
    </w:p>
    <w:p w14:paraId="084E262D" w14:textId="77777777" w:rsidR="00285F08" w:rsidRDefault="00285F08" w:rsidP="00285F08">
      <w:pPr>
        <w:spacing w:after="0" w:line="240" w:lineRule="auto"/>
        <w:ind w:firstLine="0"/>
        <w:jc w:val="both"/>
        <w:rPr>
          <w:rFonts w:eastAsia="Times New Roman" w:cs="Arial"/>
          <w:color w:val="444444"/>
          <w:sz w:val="21"/>
          <w:szCs w:val="21"/>
          <w:lang w:val="en" w:eastAsia="en-GB"/>
        </w:rPr>
      </w:pPr>
    </w:p>
    <w:p w14:paraId="0FB601C4" w14:textId="5048B78C" w:rsidR="000C3807" w:rsidRPr="000C3807" w:rsidRDefault="00C813EA" w:rsidP="000C3807">
      <w:pPr>
        <w:numPr>
          <w:ilvl w:val="1"/>
          <w:numId w:val="3"/>
        </w:numPr>
        <w:spacing w:after="0" w:line="240" w:lineRule="auto"/>
        <w:ind w:left="357" w:firstLine="0"/>
        <w:jc w:val="both"/>
        <w:rPr>
          <w:rFonts w:eastAsia="Times New Roman" w:cs="Arial"/>
          <w:color w:val="444444"/>
          <w:sz w:val="21"/>
          <w:szCs w:val="21"/>
          <w:lang w:val="en" w:eastAsia="en-GB"/>
        </w:rPr>
      </w:pPr>
      <w:r w:rsidRPr="00285F08">
        <w:rPr>
          <w:rFonts w:cs="Arial"/>
        </w:rPr>
        <w:t>An options appraisal of each framework highlighting strengths and weaknesses</w:t>
      </w:r>
      <w:r w:rsidR="000C3807">
        <w:rPr>
          <w:rFonts w:cs="Arial"/>
        </w:rPr>
        <w:t>.</w:t>
      </w:r>
    </w:p>
    <w:p w14:paraId="28F814F5" w14:textId="77777777" w:rsidR="000C3807" w:rsidRPr="000C3807" w:rsidRDefault="000C3807" w:rsidP="000C3807">
      <w:pPr>
        <w:spacing w:after="0"/>
        <w:rPr>
          <w:rFonts w:eastAsia="Times New Roman" w:cs="Arial"/>
          <w:color w:val="444444"/>
          <w:sz w:val="21"/>
          <w:szCs w:val="21"/>
          <w:lang w:val="en" w:eastAsia="en-GB"/>
        </w:rPr>
      </w:pPr>
    </w:p>
    <w:p w14:paraId="7511CFAB" w14:textId="6A927597" w:rsidR="00C813EA" w:rsidRPr="000C3807" w:rsidRDefault="00C813EA" w:rsidP="000C3807">
      <w:pPr>
        <w:numPr>
          <w:ilvl w:val="1"/>
          <w:numId w:val="3"/>
        </w:numPr>
        <w:spacing w:after="0" w:line="240" w:lineRule="auto"/>
        <w:ind w:left="357" w:firstLine="0"/>
        <w:jc w:val="both"/>
        <w:rPr>
          <w:rFonts w:eastAsia="Times New Roman" w:cs="Arial"/>
          <w:color w:val="444444"/>
          <w:sz w:val="21"/>
          <w:szCs w:val="21"/>
          <w:lang w:val="en" w:eastAsia="en-GB"/>
        </w:rPr>
      </w:pPr>
      <w:r w:rsidRPr="000C3807">
        <w:rPr>
          <w:rFonts w:cs="Arial"/>
        </w:rPr>
        <w:t>Explanation about how each framework could fit into national policy and EU policy</w:t>
      </w:r>
      <w:r w:rsidR="008C563B" w:rsidRPr="000C3807">
        <w:rPr>
          <w:rFonts w:cs="Arial"/>
        </w:rPr>
        <w:t>.</w:t>
      </w:r>
    </w:p>
    <w:p w14:paraId="4758CE87" w14:textId="77777777" w:rsidR="00425C01" w:rsidRDefault="00425C01" w:rsidP="00E25D08">
      <w:pPr>
        <w:pStyle w:val="ListParagraph"/>
        <w:widowControl w:val="0"/>
        <w:numPr>
          <w:ilvl w:val="0"/>
          <w:numId w:val="0"/>
        </w:numPr>
        <w:spacing w:after="0" w:line="260" w:lineRule="exact"/>
        <w:rPr>
          <w:rFonts w:cs="Arial"/>
        </w:rPr>
      </w:pPr>
    </w:p>
    <w:p w14:paraId="34F7F12D" w14:textId="77777777" w:rsidR="00E25D08" w:rsidRDefault="002715C7" w:rsidP="005F6BEF">
      <w:pPr>
        <w:pStyle w:val="ListParagraph"/>
        <w:widowControl w:val="0"/>
        <w:numPr>
          <w:ilvl w:val="0"/>
          <w:numId w:val="3"/>
        </w:numPr>
        <w:spacing w:after="0" w:line="260" w:lineRule="exact"/>
        <w:rPr>
          <w:rFonts w:cs="Arial"/>
        </w:rPr>
      </w:pPr>
      <w:r>
        <w:rPr>
          <w:rFonts w:cs="Arial"/>
        </w:rPr>
        <w:t>Eunomia will be presenting their findings at the Board m</w:t>
      </w:r>
      <w:r w:rsidR="00C813EA">
        <w:rPr>
          <w:rFonts w:cs="Arial"/>
        </w:rPr>
        <w:t>eeting with an opportunity for members to ask questions.</w:t>
      </w:r>
    </w:p>
    <w:p w14:paraId="26EC26E9" w14:textId="77777777" w:rsidR="00357A7D" w:rsidRDefault="00357A7D" w:rsidP="00E25D08">
      <w:pPr>
        <w:pStyle w:val="ListParagraph"/>
        <w:widowControl w:val="0"/>
        <w:numPr>
          <w:ilvl w:val="0"/>
          <w:numId w:val="0"/>
        </w:numPr>
        <w:spacing w:after="0" w:line="260" w:lineRule="exact"/>
        <w:rPr>
          <w:rFonts w:cs="Arial"/>
        </w:rPr>
      </w:pPr>
    </w:p>
    <w:p w14:paraId="4C9D9122" w14:textId="77777777" w:rsidR="00357A7D" w:rsidRDefault="00357A7D" w:rsidP="005F6BEF">
      <w:pPr>
        <w:pStyle w:val="ListParagraph"/>
        <w:widowControl w:val="0"/>
        <w:numPr>
          <w:ilvl w:val="0"/>
          <w:numId w:val="3"/>
        </w:numPr>
        <w:spacing w:after="0" w:line="260" w:lineRule="exact"/>
        <w:rPr>
          <w:rFonts w:cs="Arial"/>
        </w:rPr>
      </w:pPr>
      <w:r>
        <w:rPr>
          <w:rFonts w:cs="Arial"/>
        </w:rPr>
        <w:t xml:space="preserve">The Eunomia analysis is contained in a draft technical report which will be circulated to members separately. The report sets out the benefits and challenges </w:t>
      </w:r>
      <w:r w:rsidR="00FE6C7E">
        <w:rPr>
          <w:rFonts w:cs="Arial"/>
        </w:rPr>
        <w:t>of</w:t>
      </w:r>
      <w:r>
        <w:rPr>
          <w:rFonts w:cs="Arial"/>
        </w:rPr>
        <w:t xml:space="preserve"> adopt</w:t>
      </w:r>
      <w:r w:rsidR="00FE6C7E">
        <w:rPr>
          <w:rFonts w:cs="Arial"/>
        </w:rPr>
        <w:t>ing</w:t>
      </w:r>
      <w:r>
        <w:rPr>
          <w:rFonts w:cs="Arial"/>
        </w:rPr>
        <w:t xml:space="preserve"> new or additional measures to address waste minimisation including residual waste</w:t>
      </w:r>
      <w:r w:rsidR="00FE6C7E">
        <w:rPr>
          <w:rFonts w:cs="Arial"/>
        </w:rPr>
        <w:t>, which many in the local government sector have indicated would be a more effective approach,</w:t>
      </w:r>
      <w:r>
        <w:rPr>
          <w:rFonts w:cs="Arial"/>
        </w:rPr>
        <w:t xml:space="preserve"> </w:t>
      </w:r>
      <w:r w:rsidR="00FE6C7E">
        <w:rPr>
          <w:rFonts w:cs="Arial"/>
        </w:rPr>
        <w:t>and emissions based measures.</w:t>
      </w:r>
    </w:p>
    <w:p w14:paraId="53D5B30C" w14:textId="77777777" w:rsidR="004E5FBE" w:rsidRPr="004E5FBE" w:rsidRDefault="004E5FBE" w:rsidP="00425C01">
      <w:pPr>
        <w:spacing w:after="0" w:line="240" w:lineRule="auto"/>
        <w:ind w:left="0" w:firstLine="0"/>
        <w:rPr>
          <w:rFonts w:eastAsia="Times New Roman" w:cs="Arial"/>
          <w:color w:val="444444"/>
          <w:sz w:val="21"/>
          <w:szCs w:val="21"/>
          <w:lang w:val="en" w:eastAsia="en-GB"/>
        </w:rPr>
      </w:pPr>
    </w:p>
    <w:p w14:paraId="4842AA33" w14:textId="77777777" w:rsidR="004E5FBE" w:rsidRPr="00285F08" w:rsidRDefault="00425C01" w:rsidP="00425C01">
      <w:pPr>
        <w:spacing w:after="0" w:line="240" w:lineRule="auto"/>
        <w:ind w:left="0" w:firstLine="0"/>
        <w:jc w:val="both"/>
        <w:rPr>
          <w:rFonts w:eastAsia="Times New Roman" w:cs="Arial"/>
          <w:b/>
          <w:szCs w:val="21"/>
          <w:lang w:val="en" w:eastAsia="en-GB"/>
        </w:rPr>
      </w:pPr>
      <w:r w:rsidRPr="00285F08">
        <w:rPr>
          <w:rFonts w:eastAsia="Times New Roman" w:cs="Arial"/>
          <w:b/>
          <w:szCs w:val="21"/>
          <w:lang w:val="en" w:eastAsia="en-GB"/>
        </w:rPr>
        <w:t>Issues</w:t>
      </w:r>
    </w:p>
    <w:p w14:paraId="4088545F" w14:textId="77777777" w:rsidR="004E5FBE" w:rsidRPr="004E5FBE" w:rsidRDefault="004E5FBE" w:rsidP="004E5FBE">
      <w:pPr>
        <w:spacing w:after="0" w:line="240" w:lineRule="auto"/>
        <w:ind w:left="360" w:firstLine="0"/>
        <w:rPr>
          <w:rFonts w:eastAsia="Times New Roman" w:cs="Arial"/>
          <w:lang w:eastAsia="en-GB"/>
        </w:rPr>
      </w:pPr>
    </w:p>
    <w:p w14:paraId="1FBB9EE0" w14:textId="74954BB4" w:rsidR="000E7FEB" w:rsidRPr="000E7FEB" w:rsidRDefault="004230C1" w:rsidP="000E7FEB">
      <w:pPr>
        <w:pStyle w:val="ListParagraph"/>
        <w:numPr>
          <w:ilvl w:val="0"/>
          <w:numId w:val="3"/>
        </w:numPr>
        <w:spacing w:after="0" w:line="240" w:lineRule="auto"/>
        <w:rPr>
          <w:rFonts w:eastAsia="Times New Roman" w:cs="Arial"/>
          <w:lang w:eastAsia="en-GB"/>
        </w:rPr>
      </w:pPr>
      <w:r w:rsidRPr="000E7FEB">
        <w:rPr>
          <w:rFonts w:eastAsia="Times New Roman" w:cs="Arial"/>
          <w:lang w:eastAsia="en-GB"/>
        </w:rPr>
        <w:t>Members will be asked at the Board meeting:</w:t>
      </w:r>
    </w:p>
    <w:p w14:paraId="585BB9DC" w14:textId="77777777" w:rsidR="000E7FEB" w:rsidRDefault="000E7FEB" w:rsidP="000E7FEB">
      <w:pPr>
        <w:spacing w:after="0" w:line="240" w:lineRule="auto"/>
        <w:ind w:left="360" w:hanging="720"/>
        <w:rPr>
          <w:rFonts w:eastAsia="Times New Roman" w:cs="Arial"/>
          <w:lang w:eastAsia="en-GB"/>
        </w:rPr>
      </w:pPr>
    </w:p>
    <w:p w14:paraId="2119704D" w14:textId="344BBDBC" w:rsidR="00285F08" w:rsidRPr="000C3807" w:rsidRDefault="004230C1" w:rsidP="00285F08">
      <w:pPr>
        <w:numPr>
          <w:ilvl w:val="1"/>
          <w:numId w:val="3"/>
        </w:numPr>
        <w:spacing w:after="0" w:line="240" w:lineRule="auto"/>
        <w:ind w:hanging="720"/>
        <w:rPr>
          <w:rFonts w:eastAsia="Times New Roman" w:cs="Arial"/>
          <w:lang w:eastAsia="en-GB"/>
        </w:rPr>
      </w:pPr>
      <w:r>
        <w:rPr>
          <w:lang w:eastAsia="en-GB"/>
        </w:rPr>
        <w:t>To consider the models outlined by Eunomia</w:t>
      </w:r>
      <w:r w:rsidR="00285F08">
        <w:rPr>
          <w:lang w:eastAsia="en-GB"/>
        </w:rPr>
        <w:t>.</w:t>
      </w:r>
    </w:p>
    <w:p w14:paraId="415D5326" w14:textId="77777777" w:rsidR="000C3807" w:rsidRPr="00285F08" w:rsidRDefault="000C3807" w:rsidP="000C3807">
      <w:pPr>
        <w:spacing w:after="0" w:line="240" w:lineRule="auto"/>
        <w:ind w:left="1021" w:firstLine="0"/>
        <w:rPr>
          <w:rFonts w:eastAsia="Times New Roman" w:cs="Arial"/>
          <w:lang w:eastAsia="en-GB"/>
        </w:rPr>
      </w:pPr>
    </w:p>
    <w:p w14:paraId="07DC4989" w14:textId="4A0FBD9A" w:rsidR="00285F08" w:rsidRPr="000C3807" w:rsidRDefault="00380502" w:rsidP="00285F08">
      <w:pPr>
        <w:numPr>
          <w:ilvl w:val="1"/>
          <w:numId w:val="3"/>
        </w:numPr>
        <w:spacing w:after="0" w:line="240" w:lineRule="auto"/>
        <w:ind w:hanging="720"/>
        <w:rPr>
          <w:rFonts w:eastAsia="Times New Roman" w:cs="Arial"/>
          <w:lang w:eastAsia="en-GB"/>
        </w:rPr>
      </w:pPr>
      <w:r>
        <w:rPr>
          <w:lang w:eastAsia="en-GB"/>
        </w:rPr>
        <w:t>Do these models offer a viable alternative framework for dealing with waste and recycling in the future</w:t>
      </w:r>
      <w:r w:rsidR="00C813EA">
        <w:rPr>
          <w:lang w:eastAsia="en-GB"/>
        </w:rPr>
        <w:t>?</w:t>
      </w:r>
    </w:p>
    <w:p w14:paraId="1C763A6F" w14:textId="77777777" w:rsidR="000C3807" w:rsidRDefault="000C3807" w:rsidP="000C3807">
      <w:pPr>
        <w:pStyle w:val="ListParagraph"/>
        <w:numPr>
          <w:ilvl w:val="0"/>
          <w:numId w:val="0"/>
        </w:numPr>
        <w:spacing w:after="0"/>
        <w:ind w:left="357"/>
        <w:rPr>
          <w:rFonts w:eastAsia="Times New Roman" w:cs="Arial"/>
          <w:lang w:eastAsia="en-GB"/>
        </w:rPr>
      </w:pPr>
    </w:p>
    <w:p w14:paraId="4B533BFE" w14:textId="7F63D65D" w:rsidR="00D54B7C" w:rsidRPr="000E7FEB" w:rsidRDefault="00380502" w:rsidP="000E7FEB">
      <w:pPr>
        <w:numPr>
          <w:ilvl w:val="1"/>
          <w:numId w:val="3"/>
        </w:numPr>
        <w:spacing w:after="0" w:line="240" w:lineRule="auto"/>
        <w:ind w:hanging="720"/>
        <w:rPr>
          <w:rFonts w:eastAsia="Times New Roman" w:cs="Arial"/>
          <w:lang w:eastAsia="en-GB"/>
        </w:rPr>
      </w:pPr>
      <w:r>
        <w:rPr>
          <w:lang w:eastAsia="en-GB"/>
        </w:rPr>
        <w:t xml:space="preserve">How do members want our future lobbying work to reflect the discussion to </w:t>
      </w:r>
      <w:r w:rsidR="00624233">
        <w:rPr>
          <w:lang w:eastAsia="en-GB"/>
        </w:rPr>
        <w:t>date?</w:t>
      </w:r>
    </w:p>
    <w:p w14:paraId="5331646D" w14:textId="77777777" w:rsidR="00D54B7C" w:rsidRDefault="00D54B7C" w:rsidP="004230C1">
      <w:pPr>
        <w:pStyle w:val="ListParagraph"/>
        <w:numPr>
          <w:ilvl w:val="0"/>
          <w:numId w:val="0"/>
        </w:numPr>
        <w:ind w:left="360"/>
        <w:rPr>
          <w:lang w:eastAsia="en-GB"/>
        </w:rPr>
      </w:pPr>
    </w:p>
    <w:sdt>
      <w:sdtPr>
        <w:rPr>
          <w:rStyle w:val="Style6"/>
        </w:rPr>
        <w:alias w:val="Wales"/>
        <w:tag w:val="Wales"/>
        <w:id w:val="-2089617505"/>
        <w:placeholder>
          <w:docPart w:val="520D8BB45BF6418A8C3E7A331CBB42D2"/>
        </w:placeholder>
      </w:sdtPr>
      <w:sdtContent>
        <w:p w14:paraId="28E68BAE" w14:textId="77777777" w:rsidR="00C813EA" w:rsidRPr="00C813EA" w:rsidRDefault="00C813EA" w:rsidP="00C813EA">
          <w:r w:rsidRPr="00C803F3">
            <w:rPr>
              <w:rStyle w:val="Style6"/>
            </w:rPr>
            <w:t>Implications for Wales</w:t>
          </w:r>
        </w:p>
      </w:sdtContent>
    </w:sdt>
    <w:p w14:paraId="2F896323" w14:textId="77777777" w:rsidR="00C813EA" w:rsidRDefault="00C813EA" w:rsidP="004E5FBE">
      <w:pPr>
        <w:numPr>
          <w:ilvl w:val="0"/>
          <w:numId w:val="3"/>
        </w:numPr>
        <w:spacing w:after="0" w:line="240" w:lineRule="auto"/>
        <w:rPr>
          <w:rFonts w:eastAsia="Times New Roman" w:cs="Arial"/>
          <w:lang w:eastAsia="en-GB"/>
        </w:rPr>
      </w:pPr>
      <w:r>
        <w:rPr>
          <w:rFonts w:eastAsia="Times New Roman" w:cs="Arial"/>
          <w:lang w:eastAsia="en-GB"/>
        </w:rPr>
        <w:t xml:space="preserve">We are working closely with the Welsh LGA and will be sharing our report findings with them. </w:t>
      </w:r>
    </w:p>
    <w:p w14:paraId="44ACEFC9" w14:textId="77777777" w:rsidR="00624233" w:rsidRDefault="00624233" w:rsidP="00624233">
      <w:pPr>
        <w:spacing w:after="0" w:line="240" w:lineRule="auto"/>
        <w:ind w:left="360" w:firstLine="0"/>
        <w:rPr>
          <w:rFonts w:eastAsia="Times New Roman" w:cs="Arial"/>
          <w:lang w:eastAsia="en-GB"/>
        </w:rPr>
      </w:pPr>
    </w:p>
    <w:p w14:paraId="3977C318" w14:textId="77777777" w:rsidR="00624233" w:rsidRPr="00624233" w:rsidRDefault="00624233" w:rsidP="00624233">
      <w:pPr>
        <w:spacing w:after="0" w:line="240" w:lineRule="auto"/>
        <w:ind w:left="360" w:hanging="360"/>
        <w:rPr>
          <w:rFonts w:eastAsia="Times New Roman" w:cs="Arial"/>
          <w:b/>
          <w:lang w:eastAsia="en-GB"/>
        </w:rPr>
      </w:pPr>
      <w:r w:rsidRPr="00624233">
        <w:rPr>
          <w:rFonts w:eastAsia="Times New Roman" w:cs="Arial"/>
          <w:b/>
          <w:lang w:eastAsia="en-GB"/>
        </w:rPr>
        <w:t>Financial Implications</w:t>
      </w:r>
    </w:p>
    <w:p w14:paraId="428437BA" w14:textId="77777777" w:rsidR="00624233" w:rsidRDefault="00624233" w:rsidP="00624233">
      <w:pPr>
        <w:spacing w:after="0" w:line="240" w:lineRule="auto"/>
        <w:rPr>
          <w:rFonts w:eastAsia="Times New Roman" w:cs="Arial"/>
          <w:lang w:eastAsia="en-GB"/>
        </w:rPr>
      </w:pPr>
    </w:p>
    <w:p w14:paraId="655AA366" w14:textId="77777777" w:rsidR="00C813EA" w:rsidRPr="00624233" w:rsidRDefault="00C813EA" w:rsidP="00624233">
      <w:pPr>
        <w:numPr>
          <w:ilvl w:val="0"/>
          <w:numId w:val="3"/>
        </w:numPr>
        <w:spacing w:after="0" w:line="240" w:lineRule="auto"/>
        <w:rPr>
          <w:rFonts w:eastAsia="Times New Roman" w:cs="Arial"/>
          <w:lang w:eastAsia="en-GB"/>
        </w:rPr>
      </w:pPr>
      <w:r w:rsidRPr="00624233">
        <w:rPr>
          <w:rFonts w:eastAsia="Times New Roman" w:cs="Arial"/>
          <w:lang w:eastAsia="en-GB"/>
        </w:rPr>
        <w:t xml:space="preserve">There are currently no financial implications. </w:t>
      </w:r>
    </w:p>
    <w:p w14:paraId="613B6F2C" w14:textId="77777777" w:rsidR="00624233" w:rsidRPr="003D10AE" w:rsidRDefault="00624233" w:rsidP="005F6BEF">
      <w:pPr>
        <w:spacing w:after="0" w:line="240" w:lineRule="auto"/>
        <w:ind w:left="360" w:firstLine="0"/>
        <w:rPr>
          <w:rFonts w:eastAsia="Times New Roman" w:cs="Arial"/>
          <w:lang w:eastAsia="en-GB"/>
        </w:rPr>
      </w:pPr>
    </w:p>
    <w:p w14:paraId="4024D323" w14:textId="77777777" w:rsidR="00C813EA" w:rsidRPr="00C813EA" w:rsidRDefault="00C813EA" w:rsidP="00C813EA">
      <w:pPr>
        <w:spacing w:after="0" w:line="240" w:lineRule="auto"/>
        <w:rPr>
          <w:rFonts w:eastAsia="Times New Roman" w:cs="Arial"/>
          <w:b/>
          <w:lang w:eastAsia="en-GB"/>
        </w:rPr>
      </w:pPr>
      <w:r w:rsidRPr="00C813EA">
        <w:rPr>
          <w:rFonts w:eastAsia="Times New Roman" w:cs="Arial"/>
          <w:b/>
          <w:lang w:eastAsia="en-GB"/>
        </w:rPr>
        <w:t>Next Steps</w:t>
      </w:r>
    </w:p>
    <w:p w14:paraId="5FC4AB9F" w14:textId="77777777" w:rsidR="00C813EA" w:rsidRDefault="00C813EA" w:rsidP="00C813EA">
      <w:pPr>
        <w:spacing w:after="0" w:line="240" w:lineRule="auto"/>
        <w:rPr>
          <w:rFonts w:eastAsia="Times New Roman" w:cs="Arial"/>
          <w:lang w:eastAsia="en-GB"/>
        </w:rPr>
      </w:pPr>
    </w:p>
    <w:p w14:paraId="16F8DEA9" w14:textId="77777777" w:rsidR="00C813EA" w:rsidRDefault="00C813EA" w:rsidP="00C813EA">
      <w:pPr>
        <w:numPr>
          <w:ilvl w:val="0"/>
          <w:numId w:val="3"/>
        </w:numPr>
        <w:spacing w:after="0" w:line="240" w:lineRule="auto"/>
        <w:rPr>
          <w:rFonts w:eastAsia="Times New Roman" w:cs="Arial"/>
          <w:lang w:eastAsia="en-GB"/>
        </w:rPr>
      </w:pPr>
      <w:r>
        <w:rPr>
          <w:rFonts w:eastAsia="Times New Roman" w:cs="Arial"/>
          <w:lang w:eastAsia="en-GB"/>
        </w:rPr>
        <w:t xml:space="preserve"> Members are asked to:</w:t>
      </w:r>
    </w:p>
    <w:p w14:paraId="458E8C16" w14:textId="77777777" w:rsidR="008C4A8D" w:rsidRDefault="008C4A8D" w:rsidP="008C4A8D">
      <w:pPr>
        <w:spacing w:after="0" w:line="240" w:lineRule="auto"/>
        <w:ind w:left="360" w:hanging="720"/>
        <w:rPr>
          <w:rFonts w:eastAsia="Times New Roman" w:cs="Arial"/>
          <w:lang w:eastAsia="en-GB"/>
        </w:rPr>
      </w:pPr>
    </w:p>
    <w:p w14:paraId="6482C273" w14:textId="20A4B54F" w:rsidR="004E5FBE" w:rsidRPr="00C813EA" w:rsidRDefault="00C813EA" w:rsidP="008C4A8D">
      <w:pPr>
        <w:numPr>
          <w:ilvl w:val="1"/>
          <w:numId w:val="3"/>
        </w:numPr>
        <w:spacing w:after="0" w:line="240" w:lineRule="auto"/>
        <w:ind w:hanging="720"/>
        <w:rPr>
          <w:rFonts w:eastAsia="Times New Roman" w:cs="Arial"/>
          <w:lang w:eastAsia="en-GB"/>
        </w:rPr>
      </w:pPr>
      <w:r w:rsidRPr="00C813EA">
        <w:rPr>
          <w:rFonts w:cs="Arial"/>
        </w:rPr>
        <w:t xml:space="preserve">Provide a steer on the LGA’s </w:t>
      </w:r>
      <w:r w:rsidR="003D10AE">
        <w:rPr>
          <w:rFonts w:cs="Arial"/>
        </w:rPr>
        <w:t xml:space="preserve">future </w:t>
      </w:r>
      <w:r w:rsidRPr="00C813EA">
        <w:rPr>
          <w:rFonts w:cs="Arial"/>
        </w:rPr>
        <w:t>position for waste and recycling</w:t>
      </w:r>
      <w:r w:rsidR="00285F08">
        <w:rPr>
          <w:rFonts w:cs="Arial"/>
        </w:rPr>
        <w:t>.</w:t>
      </w:r>
    </w:p>
    <w:p w14:paraId="076A9371" w14:textId="77777777" w:rsidR="00C813EA" w:rsidRDefault="00C813EA" w:rsidP="00C813EA">
      <w:pPr>
        <w:spacing w:after="0" w:line="240" w:lineRule="auto"/>
        <w:rPr>
          <w:rFonts w:cs="Arial"/>
        </w:rPr>
      </w:pPr>
    </w:p>
    <w:p w14:paraId="1EA70B7A" w14:textId="77777777" w:rsidR="00D54B7C" w:rsidRDefault="00D54B7C" w:rsidP="005F6BEF">
      <w:pPr>
        <w:pStyle w:val="ListParagraph"/>
        <w:numPr>
          <w:ilvl w:val="0"/>
          <w:numId w:val="0"/>
        </w:numPr>
        <w:ind w:left="360"/>
      </w:pPr>
    </w:p>
    <w:p w14:paraId="09700E5B" w14:textId="77777777" w:rsidR="00D54B7C" w:rsidRDefault="00D54B7C" w:rsidP="005F6BEF">
      <w:pPr>
        <w:spacing w:after="0" w:line="240" w:lineRule="auto"/>
        <w:ind w:left="360" w:firstLine="0"/>
      </w:pPr>
    </w:p>
    <w:p w14:paraId="2AE37407" w14:textId="77777777" w:rsidR="00624233" w:rsidRDefault="00624233">
      <w:pPr>
        <w:spacing w:line="259" w:lineRule="auto"/>
        <w:ind w:left="0" w:firstLine="0"/>
      </w:pPr>
      <w:r>
        <w:br w:type="page"/>
      </w:r>
    </w:p>
    <w:p w14:paraId="72E70882" w14:textId="77777777" w:rsidR="00D54B7C" w:rsidRDefault="00D54B7C" w:rsidP="005F6BEF">
      <w:pPr>
        <w:spacing w:after="0" w:line="240" w:lineRule="auto"/>
      </w:pPr>
    </w:p>
    <w:p w14:paraId="69220A50" w14:textId="77777777" w:rsidR="002B7239" w:rsidRPr="002B7239" w:rsidRDefault="003D10AE" w:rsidP="008C4A8D">
      <w:pPr>
        <w:pStyle w:val="ListParagraph"/>
        <w:numPr>
          <w:ilvl w:val="0"/>
          <w:numId w:val="0"/>
        </w:numPr>
        <w:jc w:val="right"/>
        <w:rPr>
          <w:b/>
        </w:rPr>
      </w:pPr>
      <w:r>
        <w:rPr>
          <w:b/>
        </w:rPr>
        <w:t>Appendix A</w:t>
      </w:r>
      <w:r w:rsidR="00D54B7C">
        <w:rPr>
          <w:b/>
        </w:rPr>
        <w:t xml:space="preserve">: </w:t>
      </w:r>
      <w:r w:rsidR="002B7239">
        <w:rPr>
          <w:b/>
        </w:rPr>
        <w:t>Waste and Recycling in Wales</w:t>
      </w:r>
    </w:p>
    <w:p w14:paraId="59F2985F" w14:textId="77777777" w:rsidR="002B7239" w:rsidRDefault="002B7239" w:rsidP="002B7239">
      <w:pPr>
        <w:spacing w:after="0" w:line="240" w:lineRule="auto"/>
        <w:ind w:left="0" w:firstLine="0"/>
      </w:pPr>
    </w:p>
    <w:p w14:paraId="4ACC5146" w14:textId="3019DF64" w:rsidR="00C813EA" w:rsidRPr="00D54B7C" w:rsidRDefault="002B7239" w:rsidP="00D54B7C">
      <w:pPr>
        <w:pStyle w:val="ListParagraph"/>
        <w:numPr>
          <w:ilvl w:val="0"/>
          <w:numId w:val="17"/>
        </w:numPr>
        <w:spacing w:after="0" w:line="240" w:lineRule="auto"/>
        <w:rPr>
          <w:rFonts w:eastAsia="Times New Roman" w:cs="Arial"/>
          <w:lang w:eastAsia="en-GB"/>
        </w:rPr>
      </w:pPr>
      <w:r w:rsidRPr="00D54B7C">
        <w:rPr>
          <w:rFonts w:eastAsia="Times New Roman" w:cs="Arial"/>
          <w:lang w:eastAsia="en-GB"/>
        </w:rPr>
        <w:t>It has been noted by members in previous Board meetings that Wales are out performing us on waste and recycling targets.</w:t>
      </w:r>
      <w:r w:rsidR="004A0815" w:rsidRPr="00D54B7C">
        <w:rPr>
          <w:rFonts w:eastAsia="Times New Roman" w:cs="Arial"/>
          <w:lang w:eastAsia="en-GB"/>
        </w:rPr>
        <w:t xml:space="preserve"> </w:t>
      </w:r>
      <w:r w:rsidR="004A0815" w:rsidRPr="005F6BEF">
        <w:rPr>
          <w:rFonts w:cs="Arial"/>
          <w:color w:val="333333"/>
          <w:lang w:val="en"/>
        </w:rPr>
        <w:t xml:space="preserve">The </w:t>
      </w:r>
      <w:r w:rsidR="009B03B6" w:rsidRPr="005F6BEF">
        <w:rPr>
          <w:rFonts w:cs="Arial"/>
          <w:color w:val="333333"/>
          <w:lang w:val="en"/>
        </w:rPr>
        <w:t>figure the Welsh Government use</w:t>
      </w:r>
      <w:r w:rsidR="00B038CF" w:rsidRPr="005F6BEF">
        <w:rPr>
          <w:rFonts w:cs="Arial"/>
          <w:color w:val="333333"/>
          <w:lang w:val="en"/>
        </w:rPr>
        <w:t>s</w:t>
      </w:r>
      <w:r w:rsidR="009B03B6" w:rsidRPr="005F6BEF">
        <w:rPr>
          <w:rFonts w:cs="Arial"/>
          <w:color w:val="333333"/>
          <w:lang w:val="en"/>
        </w:rPr>
        <w:t xml:space="preserve"> for measuring </w:t>
      </w:r>
      <w:r w:rsidR="004A0815" w:rsidRPr="005F6BEF">
        <w:rPr>
          <w:rFonts w:cs="Arial"/>
          <w:color w:val="333333"/>
          <w:lang w:val="en"/>
        </w:rPr>
        <w:t>local au</w:t>
      </w:r>
      <w:r w:rsidR="009B03B6" w:rsidRPr="005F6BEF">
        <w:rPr>
          <w:rFonts w:cs="Arial"/>
          <w:color w:val="333333"/>
          <w:lang w:val="en"/>
        </w:rPr>
        <w:t>thority municipal</w:t>
      </w:r>
      <w:r w:rsidR="004A0815" w:rsidRPr="005F6BEF">
        <w:rPr>
          <w:rFonts w:cs="Arial"/>
          <w:color w:val="333333"/>
          <w:lang w:val="en"/>
        </w:rPr>
        <w:t xml:space="preserve"> </w:t>
      </w:r>
      <w:r w:rsidR="00B038CF" w:rsidRPr="005F6BEF">
        <w:rPr>
          <w:rFonts w:cs="Arial"/>
          <w:color w:val="333333"/>
          <w:lang w:val="en"/>
        </w:rPr>
        <w:t>waste was at 64</w:t>
      </w:r>
      <w:r w:rsidR="008C4A8D">
        <w:rPr>
          <w:rFonts w:cs="Arial"/>
          <w:color w:val="333333"/>
          <w:lang w:val="en"/>
        </w:rPr>
        <w:t xml:space="preserve"> per cent</w:t>
      </w:r>
      <w:r w:rsidR="004A0815" w:rsidRPr="005F6BEF">
        <w:rPr>
          <w:rFonts w:cs="Arial"/>
          <w:color w:val="333333"/>
          <w:lang w:val="en"/>
        </w:rPr>
        <w:t xml:space="preserve"> during the 12 months ending June 2017. </w:t>
      </w:r>
      <w:r w:rsidR="009B03B6" w:rsidRPr="005F6BEF">
        <w:rPr>
          <w:rFonts w:cs="Arial"/>
          <w:color w:val="333333"/>
          <w:lang w:val="en"/>
        </w:rPr>
        <w:t xml:space="preserve">This figure combines reuse/recycling and composting rates. </w:t>
      </w:r>
      <w:r w:rsidR="004A0815" w:rsidRPr="00D54B7C">
        <w:rPr>
          <w:rFonts w:eastAsia="Times New Roman" w:cs="Arial"/>
          <w:lang w:eastAsia="en-GB"/>
        </w:rPr>
        <w:t>The most recent comparable DEFRA figures</w:t>
      </w:r>
      <w:r w:rsidR="004A0815">
        <w:rPr>
          <w:rStyle w:val="FootnoteReference"/>
          <w:rFonts w:eastAsia="Times New Roman" w:cs="Arial"/>
          <w:lang w:eastAsia="en-GB"/>
        </w:rPr>
        <w:footnoteReference w:id="2"/>
      </w:r>
      <w:r w:rsidR="004A0815" w:rsidRPr="00D54B7C">
        <w:rPr>
          <w:rFonts w:eastAsia="Times New Roman" w:cs="Arial"/>
          <w:lang w:eastAsia="en-GB"/>
        </w:rPr>
        <w:t xml:space="preserve"> also show that throughout the period 2010-2015 Wales has performed better than us.</w:t>
      </w:r>
      <w:r w:rsidR="009B03B6" w:rsidRPr="00D54B7C">
        <w:rPr>
          <w:rFonts w:eastAsia="Times New Roman" w:cs="Arial"/>
          <w:lang w:eastAsia="en-GB"/>
        </w:rPr>
        <w:t xml:space="preserve"> The 2015 figure clearly shows Wales at 55.8</w:t>
      </w:r>
      <w:r w:rsidR="008C4A8D">
        <w:rPr>
          <w:rFonts w:eastAsia="Times New Roman" w:cs="Arial"/>
          <w:lang w:eastAsia="en-GB"/>
        </w:rPr>
        <w:t xml:space="preserve"> per cent</w:t>
      </w:r>
      <w:r w:rsidR="009B03B6" w:rsidRPr="00D54B7C">
        <w:rPr>
          <w:rFonts w:eastAsia="Times New Roman" w:cs="Arial"/>
          <w:lang w:eastAsia="en-GB"/>
        </w:rPr>
        <w:t xml:space="preserve"> with England at 43.9</w:t>
      </w:r>
      <w:r w:rsidR="008C4A8D">
        <w:rPr>
          <w:rFonts w:eastAsia="Times New Roman" w:cs="Arial"/>
          <w:lang w:eastAsia="en-GB"/>
        </w:rPr>
        <w:t xml:space="preserve"> per cent</w:t>
      </w:r>
      <w:r w:rsidR="009B03B6" w:rsidRPr="00D54B7C">
        <w:rPr>
          <w:rFonts w:eastAsia="Times New Roman" w:cs="Arial"/>
          <w:lang w:eastAsia="en-GB"/>
        </w:rPr>
        <w:t>. Members have asked for further clarification about the difference in performance.</w:t>
      </w:r>
    </w:p>
    <w:p w14:paraId="1B56BF53" w14:textId="77777777" w:rsidR="009B03B6" w:rsidRDefault="009B03B6" w:rsidP="009B03B6">
      <w:pPr>
        <w:spacing w:after="0" w:line="240" w:lineRule="auto"/>
        <w:rPr>
          <w:rFonts w:eastAsia="Times New Roman" w:cs="Arial"/>
          <w:lang w:eastAsia="en-GB"/>
        </w:rPr>
      </w:pPr>
    </w:p>
    <w:p w14:paraId="69F6A546" w14:textId="77777777" w:rsidR="009B03B6" w:rsidRPr="009B03B6" w:rsidRDefault="009B03B6" w:rsidP="009B03B6">
      <w:pPr>
        <w:spacing w:after="0" w:line="240" w:lineRule="auto"/>
        <w:ind w:left="717"/>
        <w:rPr>
          <w:rFonts w:eastAsia="Times New Roman" w:cs="Arial"/>
          <w:i/>
          <w:lang w:eastAsia="en-GB"/>
        </w:rPr>
      </w:pPr>
      <w:r>
        <w:rPr>
          <w:rFonts w:eastAsia="Times New Roman" w:cs="Arial"/>
          <w:i/>
          <w:lang w:eastAsia="en-GB"/>
        </w:rPr>
        <w:t>Waste from households 2015 (DEFRA)</w:t>
      </w:r>
    </w:p>
    <w:tbl>
      <w:tblPr>
        <w:tblStyle w:val="TableGrid"/>
        <w:tblW w:w="0" w:type="auto"/>
        <w:tblInd w:w="360" w:type="dxa"/>
        <w:tblLook w:val="04A0" w:firstRow="1" w:lastRow="0" w:firstColumn="1" w:lastColumn="0" w:noHBand="0" w:noVBand="1"/>
      </w:tblPr>
      <w:tblGrid>
        <w:gridCol w:w="3106"/>
        <w:gridCol w:w="984"/>
        <w:gridCol w:w="1130"/>
        <w:gridCol w:w="1096"/>
        <w:gridCol w:w="1145"/>
        <w:gridCol w:w="1195"/>
      </w:tblGrid>
      <w:tr w:rsidR="009B03B6" w14:paraId="24402D2A" w14:textId="77777777" w:rsidTr="009B03B6">
        <w:tc>
          <w:tcPr>
            <w:tcW w:w="3179" w:type="dxa"/>
          </w:tcPr>
          <w:p w14:paraId="362F4B44" w14:textId="77777777" w:rsidR="009B03B6" w:rsidRDefault="009B03B6" w:rsidP="009B03B6">
            <w:pPr>
              <w:ind w:left="0" w:firstLine="0"/>
              <w:rPr>
                <w:rStyle w:val="ReportTemplate"/>
                <w:b/>
              </w:rPr>
            </w:pPr>
            <w:r>
              <w:rPr>
                <w:rStyle w:val="ReportTemplate"/>
                <w:b/>
              </w:rPr>
              <w:t>Measure</w:t>
            </w:r>
          </w:p>
        </w:tc>
        <w:tc>
          <w:tcPr>
            <w:tcW w:w="992" w:type="dxa"/>
          </w:tcPr>
          <w:p w14:paraId="4F674B91" w14:textId="77777777" w:rsidR="009B03B6" w:rsidRDefault="009B03B6" w:rsidP="009B03B6">
            <w:pPr>
              <w:ind w:left="0" w:firstLine="0"/>
              <w:rPr>
                <w:rStyle w:val="ReportTemplate"/>
                <w:b/>
              </w:rPr>
            </w:pPr>
            <w:r>
              <w:rPr>
                <w:rStyle w:val="ReportTemplate"/>
                <w:b/>
              </w:rPr>
              <w:t>UK</w:t>
            </w:r>
          </w:p>
        </w:tc>
        <w:tc>
          <w:tcPr>
            <w:tcW w:w="1134" w:type="dxa"/>
          </w:tcPr>
          <w:p w14:paraId="48CAC7AD" w14:textId="77777777" w:rsidR="009B03B6" w:rsidRDefault="009B03B6" w:rsidP="009B03B6">
            <w:pPr>
              <w:ind w:left="0" w:firstLine="0"/>
              <w:rPr>
                <w:rStyle w:val="ReportTemplate"/>
                <w:b/>
              </w:rPr>
            </w:pPr>
            <w:r>
              <w:rPr>
                <w:rStyle w:val="ReportTemplate"/>
                <w:b/>
              </w:rPr>
              <w:t>England</w:t>
            </w:r>
          </w:p>
        </w:tc>
        <w:tc>
          <w:tcPr>
            <w:tcW w:w="1134" w:type="dxa"/>
          </w:tcPr>
          <w:p w14:paraId="265B150F" w14:textId="77777777" w:rsidR="009B03B6" w:rsidRDefault="009B03B6" w:rsidP="009B03B6">
            <w:pPr>
              <w:ind w:left="0" w:firstLine="0"/>
              <w:rPr>
                <w:rStyle w:val="ReportTemplate"/>
                <w:b/>
              </w:rPr>
            </w:pPr>
            <w:r>
              <w:rPr>
                <w:rStyle w:val="ReportTemplate"/>
                <w:b/>
              </w:rPr>
              <w:t>NI</w:t>
            </w:r>
          </w:p>
        </w:tc>
        <w:tc>
          <w:tcPr>
            <w:tcW w:w="993" w:type="dxa"/>
          </w:tcPr>
          <w:p w14:paraId="0F43B8CB" w14:textId="77777777" w:rsidR="009B03B6" w:rsidRDefault="009B03B6" w:rsidP="009B03B6">
            <w:pPr>
              <w:ind w:left="0" w:firstLine="0"/>
              <w:rPr>
                <w:rStyle w:val="ReportTemplate"/>
                <w:b/>
              </w:rPr>
            </w:pPr>
            <w:r>
              <w:rPr>
                <w:rStyle w:val="ReportTemplate"/>
                <w:b/>
              </w:rPr>
              <w:t>Scotland</w:t>
            </w:r>
          </w:p>
        </w:tc>
        <w:tc>
          <w:tcPr>
            <w:tcW w:w="1224" w:type="dxa"/>
          </w:tcPr>
          <w:p w14:paraId="3414FD24" w14:textId="77777777" w:rsidR="009B03B6" w:rsidRDefault="009B03B6" w:rsidP="009B03B6">
            <w:pPr>
              <w:ind w:left="0" w:firstLine="0"/>
              <w:rPr>
                <w:rStyle w:val="ReportTemplate"/>
                <w:b/>
              </w:rPr>
            </w:pPr>
            <w:r>
              <w:rPr>
                <w:rStyle w:val="ReportTemplate"/>
                <w:b/>
              </w:rPr>
              <w:t>Wales</w:t>
            </w:r>
          </w:p>
        </w:tc>
      </w:tr>
      <w:tr w:rsidR="009B03B6" w14:paraId="291203A8" w14:textId="77777777" w:rsidTr="009B03B6">
        <w:trPr>
          <w:trHeight w:val="632"/>
        </w:trPr>
        <w:tc>
          <w:tcPr>
            <w:tcW w:w="3179" w:type="dxa"/>
          </w:tcPr>
          <w:tbl>
            <w:tblPr>
              <w:tblW w:w="0" w:type="auto"/>
              <w:tblBorders>
                <w:top w:val="nil"/>
                <w:left w:val="nil"/>
                <w:bottom w:val="nil"/>
                <w:right w:val="nil"/>
              </w:tblBorders>
              <w:tblLook w:val="0000" w:firstRow="0" w:lastRow="0" w:firstColumn="0" w:lastColumn="0" w:noHBand="0" w:noVBand="0"/>
            </w:tblPr>
            <w:tblGrid>
              <w:gridCol w:w="1780"/>
              <w:gridCol w:w="222"/>
              <w:gridCol w:w="222"/>
              <w:gridCol w:w="222"/>
              <w:gridCol w:w="222"/>
              <w:gridCol w:w="222"/>
            </w:tblGrid>
            <w:tr w:rsidR="009B03B6" w14:paraId="2C94AB31" w14:textId="77777777" w:rsidTr="009B03B6">
              <w:trPr>
                <w:trHeight w:val="111"/>
              </w:trPr>
              <w:tc>
                <w:tcPr>
                  <w:tcW w:w="0" w:type="auto"/>
                </w:tcPr>
                <w:p w14:paraId="4D116AFD" w14:textId="77777777" w:rsidR="009B03B6" w:rsidRDefault="009B03B6" w:rsidP="009B03B6">
                  <w:pPr>
                    <w:pStyle w:val="Default"/>
                    <w:rPr>
                      <w:sz w:val="20"/>
                      <w:szCs w:val="20"/>
                    </w:rPr>
                  </w:pPr>
                  <w:proofErr w:type="spellStart"/>
                  <w:r>
                    <w:rPr>
                      <w:sz w:val="20"/>
                      <w:szCs w:val="20"/>
                    </w:rPr>
                    <w:t>Arisings</w:t>
                  </w:r>
                  <w:proofErr w:type="spellEnd"/>
                  <w:r>
                    <w:rPr>
                      <w:sz w:val="20"/>
                      <w:szCs w:val="20"/>
                    </w:rPr>
                    <w:t xml:space="preserve"> ('000 tonnes) </w:t>
                  </w:r>
                </w:p>
              </w:tc>
              <w:tc>
                <w:tcPr>
                  <w:tcW w:w="0" w:type="auto"/>
                </w:tcPr>
                <w:p w14:paraId="304257BC" w14:textId="77777777" w:rsidR="009B03B6" w:rsidRDefault="009B03B6" w:rsidP="009B03B6">
                  <w:pPr>
                    <w:pStyle w:val="Default"/>
                    <w:rPr>
                      <w:sz w:val="20"/>
                      <w:szCs w:val="20"/>
                    </w:rPr>
                  </w:pPr>
                  <w:r>
                    <w:rPr>
                      <w:sz w:val="20"/>
                      <w:szCs w:val="20"/>
                    </w:rPr>
                    <w:t xml:space="preserve"> </w:t>
                  </w:r>
                </w:p>
              </w:tc>
              <w:tc>
                <w:tcPr>
                  <w:tcW w:w="0" w:type="auto"/>
                </w:tcPr>
                <w:p w14:paraId="7C2C8961" w14:textId="77777777" w:rsidR="009B03B6" w:rsidRDefault="009B03B6" w:rsidP="009B03B6">
                  <w:pPr>
                    <w:pStyle w:val="Default"/>
                    <w:rPr>
                      <w:sz w:val="20"/>
                      <w:szCs w:val="20"/>
                    </w:rPr>
                  </w:pPr>
                  <w:r>
                    <w:rPr>
                      <w:sz w:val="20"/>
                      <w:szCs w:val="20"/>
                    </w:rPr>
                    <w:t xml:space="preserve"> </w:t>
                  </w:r>
                </w:p>
              </w:tc>
              <w:tc>
                <w:tcPr>
                  <w:tcW w:w="0" w:type="auto"/>
                </w:tcPr>
                <w:p w14:paraId="539F5662" w14:textId="77777777" w:rsidR="009B03B6" w:rsidRDefault="009B03B6" w:rsidP="009B03B6">
                  <w:pPr>
                    <w:pStyle w:val="Default"/>
                    <w:rPr>
                      <w:sz w:val="20"/>
                      <w:szCs w:val="20"/>
                    </w:rPr>
                  </w:pPr>
                </w:p>
              </w:tc>
              <w:tc>
                <w:tcPr>
                  <w:tcW w:w="0" w:type="auto"/>
                </w:tcPr>
                <w:p w14:paraId="22C1C917" w14:textId="77777777" w:rsidR="009B03B6" w:rsidRDefault="009B03B6" w:rsidP="009B03B6">
                  <w:pPr>
                    <w:pStyle w:val="Default"/>
                    <w:rPr>
                      <w:sz w:val="20"/>
                      <w:szCs w:val="20"/>
                    </w:rPr>
                  </w:pPr>
                </w:p>
              </w:tc>
              <w:tc>
                <w:tcPr>
                  <w:tcW w:w="0" w:type="auto"/>
                </w:tcPr>
                <w:p w14:paraId="7F4C48E0" w14:textId="77777777" w:rsidR="009B03B6" w:rsidRDefault="009B03B6" w:rsidP="009B03B6">
                  <w:pPr>
                    <w:pStyle w:val="Default"/>
                    <w:rPr>
                      <w:sz w:val="20"/>
                      <w:szCs w:val="20"/>
                    </w:rPr>
                  </w:pPr>
                </w:p>
              </w:tc>
            </w:tr>
            <w:tr w:rsidR="009B03B6" w14:paraId="14BB2178" w14:textId="77777777" w:rsidTr="009B03B6">
              <w:trPr>
                <w:trHeight w:val="107"/>
              </w:trPr>
              <w:tc>
                <w:tcPr>
                  <w:tcW w:w="0" w:type="auto"/>
                </w:tcPr>
                <w:p w14:paraId="5E784D57" w14:textId="77777777" w:rsidR="009B03B6" w:rsidRDefault="009B03B6" w:rsidP="009B03B6">
                  <w:pPr>
                    <w:pStyle w:val="Default"/>
                    <w:rPr>
                      <w:sz w:val="20"/>
                      <w:szCs w:val="20"/>
                    </w:rPr>
                  </w:pPr>
                </w:p>
              </w:tc>
              <w:tc>
                <w:tcPr>
                  <w:tcW w:w="0" w:type="auto"/>
                </w:tcPr>
                <w:p w14:paraId="483BFAF1" w14:textId="77777777" w:rsidR="009B03B6" w:rsidRDefault="009B03B6" w:rsidP="009B03B6">
                  <w:pPr>
                    <w:pStyle w:val="Default"/>
                    <w:rPr>
                      <w:sz w:val="20"/>
                      <w:szCs w:val="20"/>
                    </w:rPr>
                  </w:pPr>
                </w:p>
              </w:tc>
              <w:tc>
                <w:tcPr>
                  <w:tcW w:w="0" w:type="auto"/>
                </w:tcPr>
                <w:p w14:paraId="4016BE73" w14:textId="77777777" w:rsidR="009B03B6" w:rsidRDefault="009B03B6" w:rsidP="009B03B6">
                  <w:pPr>
                    <w:pStyle w:val="Default"/>
                    <w:rPr>
                      <w:sz w:val="20"/>
                      <w:szCs w:val="20"/>
                    </w:rPr>
                  </w:pPr>
                </w:p>
              </w:tc>
              <w:tc>
                <w:tcPr>
                  <w:tcW w:w="0" w:type="auto"/>
                </w:tcPr>
                <w:p w14:paraId="439525E2" w14:textId="77777777" w:rsidR="009B03B6" w:rsidRDefault="009B03B6" w:rsidP="009B03B6">
                  <w:pPr>
                    <w:pStyle w:val="Default"/>
                    <w:rPr>
                      <w:sz w:val="20"/>
                      <w:szCs w:val="20"/>
                    </w:rPr>
                  </w:pPr>
                </w:p>
              </w:tc>
              <w:tc>
                <w:tcPr>
                  <w:tcW w:w="0" w:type="auto"/>
                </w:tcPr>
                <w:p w14:paraId="4BDB1C5A" w14:textId="77777777" w:rsidR="009B03B6" w:rsidRDefault="009B03B6" w:rsidP="009B03B6">
                  <w:pPr>
                    <w:pStyle w:val="Default"/>
                    <w:rPr>
                      <w:sz w:val="20"/>
                      <w:szCs w:val="20"/>
                    </w:rPr>
                  </w:pPr>
                </w:p>
              </w:tc>
              <w:tc>
                <w:tcPr>
                  <w:tcW w:w="0" w:type="auto"/>
                </w:tcPr>
                <w:p w14:paraId="2FDB8CF3" w14:textId="77777777" w:rsidR="009B03B6" w:rsidRDefault="009B03B6" w:rsidP="009B03B6">
                  <w:pPr>
                    <w:pStyle w:val="Default"/>
                    <w:rPr>
                      <w:sz w:val="20"/>
                      <w:szCs w:val="20"/>
                    </w:rPr>
                  </w:pPr>
                </w:p>
              </w:tc>
            </w:tr>
            <w:tr w:rsidR="009B03B6" w14:paraId="704D3A7B" w14:textId="77777777" w:rsidTr="009B03B6">
              <w:trPr>
                <w:trHeight w:val="107"/>
              </w:trPr>
              <w:tc>
                <w:tcPr>
                  <w:tcW w:w="0" w:type="auto"/>
                </w:tcPr>
                <w:p w14:paraId="69FFAE3D" w14:textId="77777777" w:rsidR="009B03B6" w:rsidRDefault="009B03B6" w:rsidP="009B03B6">
                  <w:pPr>
                    <w:pStyle w:val="Default"/>
                    <w:rPr>
                      <w:sz w:val="20"/>
                      <w:szCs w:val="20"/>
                    </w:rPr>
                  </w:pPr>
                </w:p>
              </w:tc>
              <w:tc>
                <w:tcPr>
                  <w:tcW w:w="0" w:type="auto"/>
                </w:tcPr>
                <w:p w14:paraId="10CC5C77" w14:textId="77777777" w:rsidR="009B03B6" w:rsidRDefault="009B03B6" w:rsidP="009B03B6">
                  <w:pPr>
                    <w:pStyle w:val="Default"/>
                    <w:rPr>
                      <w:sz w:val="20"/>
                      <w:szCs w:val="20"/>
                    </w:rPr>
                  </w:pPr>
                </w:p>
              </w:tc>
              <w:tc>
                <w:tcPr>
                  <w:tcW w:w="0" w:type="auto"/>
                </w:tcPr>
                <w:p w14:paraId="0B03EFD7" w14:textId="77777777" w:rsidR="009B03B6" w:rsidRDefault="009B03B6" w:rsidP="009B03B6">
                  <w:pPr>
                    <w:pStyle w:val="Default"/>
                    <w:rPr>
                      <w:sz w:val="20"/>
                      <w:szCs w:val="20"/>
                    </w:rPr>
                  </w:pPr>
                </w:p>
              </w:tc>
              <w:tc>
                <w:tcPr>
                  <w:tcW w:w="0" w:type="auto"/>
                </w:tcPr>
                <w:p w14:paraId="3114BDD5" w14:textId="77777777" w:rsidR="009B03B6" w:rsidRDefault="009B03B6" w:rsidP="009B03B6">
                  <w:pPr>
                    <w:pStyle w:val="Default"/>
                    <w:rPr>
                      <w:sz w:val="20"/>
                      <w:szCs w:val="20"/>
                    </w:rPr>
                  </w:pPr>
                </w:p>
              </w:tc>
              <w:tc>
                <w:tcPr>
                  <w:tcW w:w="0" w:type="auto"/>
                </w:tcPr>
                <w:p w14:paraId="03C36D19" w14:textId="77777777" w:rsidR="009B03B6" w:rsidRDefault="009B03B6" w:rsidP="009B03B6">
                  <w:pPr>
                    <w:pStyle w:val="Default"/>
                    <w:rPr>
                      <w:sz w:val="20"/>
                      <w:szCs w:val="20"/>
                    </w:rPr>
                  </w:pPr>
                </w:p>
              </w:tc>
              <w:tc>
                <w:tcPr>
                  <w:tcW w:w="0" w:type="auto"/>
                </w:tcPr>
                <w:p w14:paraId="7B3D0DF4" w14:textId="77777777" w:rsidR="009B03B6" w:rsidRDefault="009B03B6" w:rsidP="009B03B6">
                  <w:pPr>
                    <w:pStyle w:val="Default"/>
                    <w:rPr>
                      <w:sz w:val="20"/>
                      <w:szCs w:val="20"/>
                    </w:rPr>
                  </w:pPr>
                </w:p>
              </w:tc>
            </w:tr>
            <w:tr w:rsidR="009B03B6" w14:paraId="11132E1B" w14:textId="77777777" w:rsidTr="009B03B6">
              <w:trPr>
                <w:trHeight w:val="107"/>
              </w:trPr>
              <w:tc>
                <w:tcPr>
                  <w:tcW w:w="0" w:type="auto"/>
                </w:tcPr>
                <w:p w14:paraId="5DC96FCD" w14:textId="77777777" w:rsidR="009B03B6" w:rsidRDefault="009B03B6" w:rsidP="009B03B6">
                  <w:pPr>
                    <w:pStyle w:val="Default"/>
                    <w:rPr>
                      <w:sz w:val="20"/>
                      <w:szCs w:val="20"/>
                    </w:rPr>
                  </w:pPr>
                </w:p>
              </w:tc>
              <w:tc>
                <w:tcPr>
                  <w:tcW w:w="0" w:type="auto"/>
                </w:tcPr>
                <w:p w14:paraId="13D2F3B3" w14:textId="77777777" w:rsidR="009B03B6" w:rsidRDefault="009B03B6" w:rsidP="009B03B6">
                  <w:pPr>
                    <w:pStyle w:val="Default"/>
                    <w:rPr>
                      <w:sz w:val="20"/>
                      <w:szCs w:val="20"/>
                    </w:rPr>
                  </w:pPr>
                </w:p>
              </w:tc>
              <w:tc>
                <w:tcPr>
                  <w:tcW w:w="0" w:type="auto"/>
                </w:tcPr>
                <w:p w14:paraId="1EDBE6E8" w14:textId="77777777" w:rsidR="009B03B6" w:rsidRDefault="009B03B6" w:rsidP="009B03B6">
                  <w:pPr>
                    <w:pStyle w:val="Default"/>
                    <w:rPr>
                      <w:sz w:val="20"/>
                      <w:szCs w:val="20"/>
                    </w:rPr>
                  </w:pPr>
                </w:p>
              </w:tc>
              <w:tc>
                <w:tcPr>
                  <w:tcW w:w="0" w:type="auto"/>
                </w:tcPr>
                <w:p w14:paraId="753613B1" w14:textId="77777777" w:rsidR="009B03B6" w:rsidRDefault="009B03B6" w:rsidP="009B03B6">
                  <w:pPr>
                    <w:pStyle w:val="Default"/>
                    <w:rPr>
                      <w:sz w:val="20"/>
                      <w:szCs w:val="20"/>
                    </w:rPr>
                  </w:pPr>
                </w:p>
              </w:tc>
              <w:tc>
                <w:tcPr>
                  <w:tcW w:w="0" w:type="auto"/>
                </w:tcPr>
                <w:p w14:paraId="369E5D18" w14:textId="77777777" w:rsidR="009B03B6" w:rsidRDefault="009B03B6" w:rsidP="009B03B6">
                  <w:pPr>
                    <w:pStyle w:val="Default"/>
                    <w:rPr>
                      <w:sz w:val="20"/>
                      <w:szCs w:val="20"/>
                    </w:rPr>
                  </w:pPr>
                </w:p>
              </w:tc>
              <w:tc>
                <w:tcPr>
                  <w:tcW w:w="0" w:type="auto"/>
                </w:tcPr>
                <w:p w14:paraId="74663BDB" w14:textId="77777777" w:rsidR="009B03B6" w:rsidRDefault="009B03B6" w:rsidP="009B03B6">
                  <w:pPr>
                    <w:pStyle w:val="Default"/>
                    <w:rPr>
                      <w:sz w:val="20"/>
                      <w:szCs w:val="20"/>
                    </w:rPr>
                  </w:pPr>
                </w:p>
              </w:tc>
            </w:tr>
            <w:tr w:rsidR="009B03B6" w14:paraId="41EAF902" w14:textId="77777777" w:rsidTr="009B03B6">
              <w:trPr>
                <w:trHeight w:val="80"/>
              </w:trPr>
              <w:tc>
                <w:tcPr>
                  <w:tcW w:w="0" w:type="auto"/>
                </w:tcPr>
                <w:p w14:paraId="27DC8ADE" w14:textId="77777777" w:rsidR="009B03B6" w:rsidRDefault="009B03B6" w:rsidP="009B03B6">
                  <w:pPr>
                    <w:pStyle w:val="Default"/>
                    <w:rPr>
                      <w:sz w:val="20"/>
                      <w:szCs w:val="20"/>
                    </w:rPr>
                  </w:pPr>
                </w:p>
              </w:tc>
              <w:tc>
                <w:tcPr>
                  <w:tcW w:w="0" w:type="auto"/>
                </w:tcPr>
                <w:p w14:paraId="52C81DF2" w14:textId="77777777" w:rsidR="009B03B6" w:rsidRDefault="009B03B6" w:rsidP="009B03B6">
                  <w:pPr>
                    <w:pStyle w:val="Default"/>
                    <w:rPr>
                      <w:sz w:val="20"/>
                      <w:szCs w:val="20"/>
                    </w:rPr>
                  </w:pPr>
                </w:p>
              </w:tc>
              <w:tc>
                <w:tcPr>
                  <w:tcW w:w="0" w:type="auto"/>
                </w:tcPr>
                <w:p w14:paraId="6231A8B3" w14:textId="77777777" w:rsidR="009B03B6" w:rsidRDefault="009B03B6" w:rsidP="009B03B6">
                  <w:pPr>
                    <w:pStyle w:val="Default"/>
                    <w:rPr>
                      <w:sz w:val="20"/>
                      <w:szCs w:val="20"/>
                    </w:rPr>
                  </w:pPr>
                </w:p>
              </w:tc>
              <w:tc>
                <w:tcPr>
                  <w:tcW w:w="0" w:type="auto"/>
                </w:tcPr>
                <w:p w14:paraId="2621C86D" w14:textId="77777777" w:rsidR="009B03B6" w:rsidRDefault="009B03B6" w:rsidP="009B03B6">
                  <w:pPr>
                    <w:pStyle w:val="Default"/>
                    <w:rPr>
                      <w:sz w:val="20"/>
                      <w:szCs w:val="20"/>
                    </w:rPr>
                  </w:pPr>
                </w:p>
              </w:tc>
              <w:tc>
                <w:tcPr>
                  <w:tcW w:w="0" w:type="auto"/>
                </w:tcPr>
                <w:p w14:paraId="7912B890" w14:textId="77777777" w:rsidR="009B03B6" w:rsidRDefault="009B03B6" w:rsidP="009B03B6">
                  <w:pPr>
                    <w:pStyle w:val="Default"/>
                    <w:rPr>
                      <w:sz w:val="20"/>
                      <w:szCs w:val="20"/>
                    </w:rPr>
                  </w:pPr>
                </w:p>
              </w:tc>
              <w:tc>
                <w:tcPr>
                  <w:tcW w:w="0" w:type="auto"/>
                </w:tcPr>
                <w:p w14:paraId="5E3F6AA4" w14:textId="77777777" w:rsidR="009B03B6" w:rsidRDefault="009B03B6" w:rsidP="009B03B6">
                  <w:pPr>
                    <w:pStyle w:val="Default"/>
                    <w:rPr>
                      <w:sz w:val="20"/>
                      <w:szCs w:val="20"/>
                    </w:rPr>
                  </w:pPr>
                </w:p>
              </w:tc>
            </w:tr>
          </w:tbl>
          <w:p w14:paraId="6E5F9CFD" w14:textId="77777777" w:rsidR="009B03B6" w:rsidRDefault="009B03B6" w:rsidP="009B03B6">
            <w:pPr>
              <w:ind w:left="0" w:firstLine="0"/>
              <w:rPr>
                <w:rStyle w:val="ReportTemplate"/>
                <w:b/>
              </w:rPr>
            </w:pPr>
          </w:p>
        </w:tc>
        <w:tc>
          <w:tcPr>
            <w:tcW w:w="992" w:type="dxa"/>
          </w:tcPr>
          <w:p w14:paraId="651678E3" w14:textId="77777777" w:rsidR="009B03B6" w:rsidRPr="004A0815" w:rsidRDefault="009B03B6" w:rsidP="009B03B6">
            <w:pPr>
              <w:ind w:left="0" w:firstLine="0"/>
              <w:rPr>
                <w:rStyle w:val="ReportTemplate"/>
              </w:rPr>
            </w:pPr>
            <w:r>
              <w:rPr>
                <w:rStyle w:val="ReportTemplate"/>
              </w:rPr>
              <w:t>26,677</w:t>
            </w:r>
          </w:p>
        </w:tc>
        <w:tc>
          <w:tcPr>
            <w:tcW w:w="1134" w:type="dxa"/>
          </w:tcPr>
          <w:p w14:paraId="2A289AB8" w14:textId="77777777" w:rsidR="009B03B6" w:rsidRPr="009B03B6" w:rsidRDefault="009B03B6" w:rsidP="009B03B6">
            <w:pPr>
              <w:ind w:left="0" w:firstLine="0"/>
              <w:rPr>
                <w:rStyle w:val="ReportTemplate"/>
              </w:rPr>
            </w:pPr>
            <w:r w:rsidRPr="009B03B6">
              <w:rPr>
                <w:rStyle w:val="ReportTemplate"/>
              </w:rPr>
              <w:t>22,225</w:t>
            </w:r>
          </w:p>
        </w:tc>
        <w:tc>
          <w:tcPr>
            <w:tcW w:w="1134" w:type="dxa"/>
          </w:tcPr>
          <w:p w14:paraId="72C46127" w14:textId="77777777" w:rsidR="009B03B6" w:rsidRPr="009B03B6" w:rsidRDefault="009B03B6" w:rsidP="009B03B6">
            <w:pPr>
              <w:ind w:left="0" w:firstLine="0"/>
              <w:rPr>
                <w:rStyle w:val="ReportTemplate"/>
              </w:rPr>
            </w:pPr>
            <w:r w:rsidRPr="009B03B6">
              <w:rPr>
                <w:rStyle w:val="ReportTemplate"/>
              </w:rPr>
              <w:t>821</w:t>
            </w:r>
          </w:p>
        </w:tc>
        <w:tc>
          <w:tcPr>
            <w:tcW w:w="993" w:type="dxa"/>
          </w:tcPr>
          <w:p w14:paraId="72D00CFA" w14:textId="77777777" w:rsidR="009B03B6" w:rsidRPr="009B03B6" w:rsidRDefault="009B03B6" w:rsidP="009B03B6">
            <w:pPr>
              <w:ind w:left="0" w:firstLine="0"/>
              <w:rPr>
                <w:rStyle w:val="ReportTemplate"/>
              </w:rPr>
            </w:pPr>
            <w:r w:rsidRPr="009B03B6">
              <w:rPr>
                <w:rStyle w:val="ReportTemplate"/>
              </w:rPr>
              <w:t>2,354</w:t>
            </w:r>
          </w:p>
        </w:tc>
        <w:tc>
          <w:tcPr>
            <w:tcW w:w="1224" w:type="dxa"/>
          </w:tcPr>
          <w:p w14:paraId="328EBDBE" w14:textId="77777777" w:rsidR="009B03B6" w:rsidRPr="009B03B6" w:rsidRDefault="009B03B6" w:rsidP="009B03B6">
            <w:pPr>
              <w:ind w:left="0" w:firstLine="0"/>
              <w:rPr>
                <w:rStyle w:val="ReportTemplate"/>
              </w:rPr>
            </w:pPr>
            <w:r w:rsidRPr="009B03B6">
              <w:rPr>
                <w:rStyle w:val="ReportTemplate"/>
              </w:rPr>
              <w:t>1,278</w:t>
            </w:r>
          </w:p>
        </w:tc>
      </w:tr>
      <w:tr w:rsidR="009B03B6" w14:paraId="0290CB08" w14:textId="77777777" w:rsidTr="009B03B6">
        <w:tc>
          <w:tcPr>
            <w:tcW w:w="3179" w:type="dxa"/>
          </w:tcPr>
          <w:tbl>
            <w:tblPr>
              <w:tblW w:w="0" w:type="auto"/>
              <w:tblBorders>
                <w:top w:val="nil"/>
                <w:left w:val="nil"/>
                <w:bottom w:val="nil"/>
                <w:right w:val="nil"/>
              </w:tblBorders>
              <w:tblLook w:val="0000" w:firstRow="0" w:lastRow="0" w:firstColumn="0" w:lastColumn="0" w:noHBand="0" w:noVBand="0"/>
            </w:tblPr>
            <w:tblGrid>
              <w:gridCol w:w="2256"/>
              <w:gridCol w:w="222"/>
            </w:tblGrid>
            <w:tr w:rsidR="009B03B6" w14:paraId="7A736400" w14:textId="77777777" w:rsidTr="009B03B6">
              <w:trPr>
                <w:trHeight w:val="107"/>
              </w:trPr>
              <w:tc>
                <w:tcPr>
                  <w:tcW w:w="0" w:type="auto"/>
                </w:tcPr>
                <w:p w14:paraId="33231182" w14:textId="77777777" w:rsidR="009B03B6" w:rsidRDefault="009B03B6" w:rsidP="009B03B6">
                  <w:pPr>
                    <w:pStyle w:val="Default"/>
                    <w:rPr>
                      <w:sz w:val="20"/>
                      <w:szCs w:val="20"/>
                    </w:rPr>
                  </w:pPr>
                  <w:r>
                    <w:rPr>
                      <w:sz w:val="20"/>
                      <w:szCs w:val="20"/>
                    </w:rPr>
                    <w:t xml:space="preserve">Recycled ('000 tonnes) </w:t>
                  </w:r>
                </w:p>
              </w:tc>
              <w:tc>
                <w:tcPr>
                  <w:tcW w:w="0" w:type="auto"/>
                </w:tcPr>
                <w:p w14:paraId="63637B05" w14:textId="77777777" w:rsidR="009B03B6" w:rsidRDefault="009B03B6" w:rsidP="009B03B6">
                  <w:pPr>
                    <w:pStyle w:val="Default"/>
                    <w:rPr>
                      <w:sz w:val="20"/>
                      <w:szCs w:val="20"/>
                    </w:rPr>
                  </w:pPr>
                  <w:r>
                    <w:rPr>
                      <w:sz w:val="20"/>
                      <w:szCs w:val="20"/>
                    </w:rPr>
                    <w:t xml:space="preserve"> </w:t>
                  </w:r>
                </w:p>
              </w:tc>
            </w:tr>
          </w:tbl>
          <w:p w14:paraId="37D05780" w14:textId="77777777" w:rsidR="009B03B6" w:rsidRDefault="009B03B6" w:rsidP="009B03B6">
            <w:pPr>
              <w:pStyle w:val="Default"/>
              <w:rPr>
                <w:sz w:val="20"/>
                <w:szCs w:val="20"/>
              </w:rPr>
            </w:pPr>
          </w:p>
        </w:tc>
        <w:tc>
          <w:tcPr>
            <w:tcW w:w="992" w:type="dxa"/>
          </w:tcPr>
          <w:p w14:paraId="4EB99AF2" w14:textId="77777777" w:rsidR="009B03B6" w:rsidRDefault="009B03B6" w:rsidP="009B03B6">
            <w:pPr>
              <w:ind w:left="0" w:firstLine="0"/>
              <w:rPr>
                <w:rStyle w:val="ReportTemplate"/>
              </w:rPr>
            </w:pPr>
            <w:r>
              <w:rPr>
                <w:rStyle w:val="ReportTemplate"/>
              </w:rPr>
              <w:t>11,805</w:t>
            </w:r>
          </w:p>
        </w:tc>
        <w:tc>
          <w:tcPr>
            <w:tcW w:w="1134" w:type="dxa"/>
          </w:tcPr>
          <w:p w14:paraId="417A20C3" w14:textId="77777777" w:rsidR="009B03B6" w:rsidRPr="009B03B6" w:rsidRDefault="009B03B6" w:rsidP="009B03B6">
            <w:pPr>
              <w:ind w:left="0" w:firstLine="0"/>
              <w:rPr>
                <w:rStyle w:val="ReportTemplate"/>
              </w:rPr>
            </w:pPr>
            <w:r>
              <w:rPr>
                <w:rStyle w:val="ReportTemplate"/>
              </w:rPr>
              <w:t>9,758</w:t>
            </w:r>
          </w:p>
        </w:tc>
        <w:tc>
          <w:tcPr>
            <w:tcW w:w="1134" w:type="dxa"/>
          </w:tcPr>
          <w:p w14:paraId="0547B36F" w14:textId="77777777" w:rsidR="009B03B6" w:rsidRPr="009B03B6" w:rsidRDefault="009B03B6" w:rsidP="009B03B6">
            <w:pPr>
              <w:ind w:left="0" w:firstLine="0"/>
              <w:rPr>
                <w:rStyle w:val="ReportTemplate"/>
              </w:rPr>
            </w:pPr>
            <w:r>
              <w:rPr>
                <w:rStyle w:val="ReportTemplate"/>
              </w:rPr>
              <w:t>344</w:t>
            </w:r>
          </w:p>
        </w:tc>
        <w:tc>
          <w:tcPr>
            <w:tcW w:w="993" w:type="dxa"/>
          </w:tcPr>
          <w:p w14:paraId="2ABB4D97" w14:textId="77777777" w:rsidR="009B03B6" w:rsidRPr="009B03B6" w:rsidRDefault="009B03B6" w:rsidP="009B03B6">
            <w:pPr>
              <w:ind w:left="0" w:firstLine="0"/>
              <w:rPr>
                <w:rStyle w:val="ReportTemplate"/>
              </w:rPr>
            </w:pPr>
            <w:r>
              <w:rPr>
                <w:rStyle w:val="ReportTemplate"/>
              </w:rPr>
              <w:t>989</w:t>
            </w:r>
          </w:p>
        </w:tc>
        <w:tc>
          <w:tcPr>
            <w:tcW w:w="1224" w:type="dxa"/>
          </w:tcPr>
          <w:p w14:paraId="6E9C7065" w14:textId="77777777" w:rsidR="009B03B6" w:rsidRPr="009B03B6" w:rsidRDefault="009B03B6" w:rsidP="009B03B6">
            <w:pPr>
              <w:ind w:left="0" w:firstLine="0"/>
              <w:rPr>
                <w:rStyle w:val="ReportTemplate"/>
              </w:rPr>
            </w:pPr>
            <w:r>
              <w:rPr>
                <w:rStyle w:val="ReportTemplate"/>
              </w:rPr>
              <w:t>713</w:t>
            </w:r>
          </w:p>
        </w:tc>
      </w:tr>
      <w:tr w:rsidR="009B03B6" w14:paraId="6F90B27A" w14:textId="77777777" w:rsidTr="009B03B6">
        <w:tc>
          <w:tcPr>
            <w:tcW w:w="3179" w:type="dxa"/>
          </w:tcPr>
          <w:tbl>
            <w:tblPr>
              <w:tblW w:w="0" w:type="auto"/>
              <w:tblBorders>
                <w:top w:val="nil"/>
                <w:left w:val="nil"/>
                <w:bottom w:val="nil"/>
                <w:right w:val="nil"/>
              </w:tblBorders>
              <w:tblLook w:val="0000" w:firstRow="0" w:lastRow="0" w:firstColumn="0" w:lastColumn="0" w:noHBand="0" w:noVBand="0"/>
            </w:tblPr>
            <w:tblGrid>
              <w:gridCol w:w="1484"/>
            </w:tblGrid>
            <w:tr w:rsidR="009B03B6" w14:paraId="5C3C84E6" w14:textId="77777777" w:rsidTr="009B03B6">
              <w:trPr>
                <w:trHeight w:val="107"/>
              </w:trPr>
              <w:tc>
                <w:tcPr>
                  <w:tcW w:w="0" w:type="auto"/>
                </w:tcPr>
                <w:p w14:paraId="07C99A99" w14:textId="77777777" w:rsidR="009B03B6" w:rsidRDefault="009B03B6" w:rsidP="009B03B6">
                  <w:pPr>
                    <w:pStyle w:val="Default"/>
                    <w:rPr>
                      <w:sz w:val="20"/>
                      <w:szCs w:val="20"/>
                    </w:rPr>
                  </w:pPr>
                  <w:r>
                    <w:rPr>
                      <w:sz w:val="20"/>
                      <w:szCs w:val="20"/>
                    </w:rPr>
                    <w:t xml:space="preserve">Recycling rate </w:t>
                  </w:r>
                </w:p>
              </w:tc>
            </w:tr>
          </w:tbl>
          <w:p w14:paraId="18C3478F" w14:textId="77777777" w:rsidR="009B03B6" w:rsidRDefault="009B03B6" w:rsidP="009B03B6">
            <w:pPr>
              <w:pStyle w:val="Default"/>
              <w:rPr>
                <w:sz w:val="20"/>
                <w:szCs w:val="20"/>
              </w:rPr>
            </w:pPr>
          </w:p>
        </w:tc>
        <w:tc>
          <w:tcPr>
            <w:tcW w:w="992" w:type="dxa"/>
          </w:tcPr>
          <w:p w14:paraId="169D059B" w14:textId="77777777" w:rsidR="009B03B6" w:rsidRDefault="009B03B6" w:rsidP="009B03B6">
            <w:pPr>
              <w:ind w:left="0" w:firstLine="0"/>
              <w:rPr>
                <w:rStyle w:val="ReportTemplate"/>
              </w:rPr>
            </w:pPr>
            <w:r>
              <w:rPr>
                <w:rStyle w:val="ReportTemplate"/>
              </w:rPr>
              <w:t>44.3%</w:t>
            </w:r>
          </w:p>
        </w:tc>
        <w:tc>
          <w:tcPr>
            <w:tcW w:w="1134" w:type="dxa"/>
          </w:tcPr>
          <w:p w14:paraId="20ECB7D1" w14:textId="77777777" w:rsidR="009B03B6" w:rsidRPr="009B03B6" w:rsidRDefault="009B03B6" w:rsidP="009B03B6">
            <w:pPr>
              <w:ind w:left="0" w:firstLine="0"/>
              <w:rPr>
                <w:rStyle w:val="ReportTemplate"/>
              </w:rPr>
            </w:pPr>
            <w:r w:rsidRPr="009B03B6">
              <w:rPr>
                <w:rStyle w:val="ReportTemplate"/>
              </w:rPr>
              <w:t>43.9%</w:t>
            </w:r>
          </w:p>
        </w:tc>
        <w:tc>
          <w:tcPr>
            <w:tcW w:w="1134" w:type="dxa"/>
          </w:tcPr>
          <w:p w14:paraId="3454A2B8" w14:textId="77777777" w:rsidR="009B03B6" w:rsidRPr="009B03B6" w:rsidRDefault="009B03B6" w:rsidP="009B03B6">
            <w:pPr>
              <w:ind w:left="0" w:firstLine="0"/>
              <w:rPr>
                <w:rStyle w:val="ReportTemplate"/>
              </w:rPr>
            </w:pPr>
            <w:r w:rsidRPr="009B03B6">
              <w:rPr>
                <w:rStyle w:val="ReportTemplate"/>
              </w:rPr>
              <w:t>42%</w:t>
            </w:r>
          </w:p>
        </w:tc>
        <w:tc>
          <w:tcPr>
            <w:tcW w:w="993" w:type="dxa"/>
          </w:tcPr>
          <w:p w14:paraId="2DF345DC" w14:textId="77777777" w:rsidR="009B03B6" w:rsidRPr="009B03B6" w:rsidRDefault="009B03B6" w:rsidP="009B03B6">
            <w:pPr>
              <w:ind w:left="0" w:firstLine="0"/>
              <w:rPr>
                <w:rStyle w:val="ReportTemplate"/>
              </w:rPr>
            </w:pPr>
            <w:r w:rsidRPr="009B03B6">
              <w:rPr>
                <w:rStyle w:val="ReportTemplate"/>
              </w:rPr>
              <w:t>42%</w:t>
            </w:r>
          </w:p>
        </w:tc>
        <w:tc>
          <w:tcPr>
            <w:tcW w:w="1224" w:type="dxa"/>
          </w:tcPr>
          <w:p w14:paraId="68CBDAAB" w14:textId="77777777" w:rsidR="009B03B6" w:rsidRPr="009B03B6" w:rsidRDefault="009B03B6" w:rsidP="009B03B6">
            <w:pPr>
              <w:ind w:left="0" w:firstLine="0"/>
              <w:rPr>
                <w:rStyle w:val="ReportTemplate"/>
              </w:rPr>
            </w:pPr>
            <w:r w:rsidRPr="009B03B6">
              <w:rPr>
                <w:rStyle w:val="ReportTemplate"/>
              </w:rPr>
              <w:t>55.8%</w:t>
            </w:r>
          </w:p>
        </w:tc>
      </w:tr>
    </w:tbl>
    <w:p w14:paraId="1D1BE2CA" w14:textId="77777777" w:rsidR="009B03B6" w:rsidRDefault="009B03B6" w:rsidP="00B41A70">
      <w:pPr>
        <w:spacing w:after="0" w:line="240" w:lineRule="auto"/>
        <w:ind w:left="0" w:firstLine="0"/>
        <w:rPr>
          <w:rFonts w:eastAsia="Times New Roman" w:cs="Arial"/>
          <w:lang w:eastAsia="en-GB"/>
        </w:rPr>
      </w:pPr>
    </w:p>
    <w:p w14:paraId="51D82B96" w14:textId="77777777" w:rsidR="00B41A70" w:rsidRDefault="00B41A70" w:rsidP="00B41A70">
      <w:pPr>
        <w:spacing w:after="0" w:line="240" w:lineRule="auto"/>
        <w:ind w:left="0" w:firstLine="0"/>
        <w:rPr>
          <w:rFonts w:eastAsia="Times New Roman" w:cs="Arial"/>
          <w:lang w:eastAsia="en-GB"/>
        </w:rPr>
      </w:pPr>
    </w:p>
    <w:p w14:paraId="19F0F8F4" w14:textId="77777777" w:rsidR="008C4A8D" w:rsidRDefault="00B41A70" w:rsidP="008C4A8D">
      <w:pPr>
        <w:pStyle w:val="ListParagraph"/>
        <w:numPr>
          <w:ilvl w:val="0"/>
          <w:numId w:val="17"/>
        </w:numPr>
        <w:spacing w:after="0" w:line="240" w:lineRule="auto"/>
        <w:rPr>
          <w:rFonts w:eastAsia="Times New Roman" w:cs="Arial"/>
          <w:lang w:eastAsia="en-GB"/>
        </w:rPr>
      </w:pPr>
      <w:r w:rsidRPr="00D54B7C">
        <w:rPr>
          <w:rFonts w:eastAsia="Times New Roman" w:cs="Arial"/>
          <w:lang w:eastAsia="en-GB"/>
        </w:rPr>
        <w:t>There are a number of factors which contribute towards the difference in performance:</w:t>
      </w:r>
    </w:p>
    <w:p w14:paraId="21E0A704" w14:textId="77777777" w:rsidR="008C4A8D" w:rsidRDefault="008C4A8D" w:rsidP="008C4A8D">
      <w:pPr>
        <w:pStyle w:val="ListParagraph"/>
        <w:numPr>
          <w:ilvl w:val="0"/>
          <w:numId w:val="0"/>
        </w:numPr>
        <w:spacing w:after="0" w:line="240" w:lineRule="auto"/>
        <w:ind w:left="360"/>
        <w:rPr>
          <w:rFonts w:eastAsia="Times New Roman" w:cs="Arial"/>
          <w:lang w:eastAsia="en-GB"/>
        </w:rPr>
      </w:pPr>
    </w:p>
    <w:p w14:paraId="778CBD2A" w14:textId="77777777" w:rsidR="008C4A8D" w:rsidRDefault="00B41A70" w:rsidP="008C4A8D">
      <w:pPr>
        <w:pStyle w:val="ListParagraph"/>
        <w:numPr>
          <w:ilvl w:val="1"/>
          <w:numId w:val="17"/>
        </w:numPr>
        <w:spacing w:after="0" w:line="240" w:lineRule="auto"/>
        <w:rPr>
          <w:rFonts w:eastAsia="Times New Roman" w:cs="Arial"/>
          <w:lang w:eastAsia="en-GB"/>
        </w:rPr>
      </w:pPr>
      <w:r w:rsidRPr="008C4A8D">
        <w:rPr>
          <w:rFonts w:eastAsia="Times New Roman" w:cs="Arial"/>
          <w:lang w:eastAsia="en-GB"/>
        </w:rPr>
        <w:t xml:space="preserve">There is national direction on waste. In 2002 the </w:t>
      </w:r>
      <w:r w:rsidR="00B038CF" w:rsidRPr="008C4A8D">
        <w:rPr>
          <w:rFonts w:eastAsia="Times New Roman" w:cs="Arial"/>
          <w:lang w:eastAsia="en-GB"/>
        </w:rPr>
        <w:t xml:space="preserve">Welsh </w:t>
      </w:r>
      <w:r w:rsidRPr="008C4A8D">
        <w:rPr>
          <w:rFonts w:eastAsia="Times New Roman" w:cs="Arial"/>
          <w:lang w:eastAsia="en-GB"/>
        </w:rPr>
        <w:t xml:space="preserve">government published its national waste strategy “Wise about Waste” calling for </w:t>
      </w:r>
      <w:r w:rsidR="00510030" w:rsidRPr="008C4A8D">
        <w:rPr>
          <w:rFonts w:eastAsia="Times New Roman" w:cs="Arial"/>
          <w:lang w:eastAsia="en-GB"/>
        </w:rPr>
        <w:t>a move away from landfill towards a model of sustainable waste management. This was replaced in 2010 with a new national strategy “Towards Zero Waste”.</w:t>
      </w:r>
    </w:p>
    <w:p w14:paraId="13A00366" w14:textId="77777777" w:rsidR="008C4A8D" w:rsidRDefault="008C4A8D" w:rsidP="008C4A8D">
      <w:pPr>
        <w:pStyle w:val="ListParagraph"/>
        <w:numPr>
          <w:ilvl w:val="0"/>
          <w:numId w:val="0"/>
        </w:numPr>
        <w:spacing w:after="0" w:line="240" w:lineRule="auto"/>
        <w:ind w:left="792"/>
        <w:rPr>
          <w:rFonts w:eastAsia="Times New Roman" w:cs="Arial"/>
          <w:lang w:eastAsia="en-GB"/>
        </w:rPr>
      </w:pPr>
    </w:p>
    <w:p w14:paraId="1306DA64" w14:textId="00D0B4E7" w:rsidR="008C4A8D" w:rsidRPr="008C4A8D" w:rsidRDefault="00B41A70" w:rsidP="008C4A8D">
      <w:pPr>
        <w:pStyle w:val="ListParagraph"/>
        <w:numPr>
          <w:ilvl w:val="1"/>
          <w:numId w:val="17"/>
        </w:numPr>
        <w:spacing w:after="0" w:line="240" w:lineRule="auto"/>
        <w:rPr>
          <w:rFonts w:eastAsia="Times New Roman" w:cs="Arial"/>
          <w:lang w:eastAsia="en-GB"/>
        </w:rPr>
      </w:pPr>
      <w:r>
        <w:t>F</w:t>
      </w:r>
      <w:r w:rsidR="00510030">
        <w:t>rom 2001-2002 a</w:t>
      </w:r>
      <w:r>
        <w:t xml:space="preserve"> Sus</w:t>
      </w:r>
      <w:r w:rsidR="00510030">
        <w:t>tainable Waste Manage</w:t>
      </w:r>
      <w:r w:rsidR="00B038CF">
        <w:t xml:space="preserve">ment Grant (SWMG) was paid out. </w:t>
      </w:r>
      <w:r>
        <w:t xml:space="preserve">The SWMG was paid by Welsh Government (WG) to local authorities in Wales to help them introduce recycling services and food waste collections. </w:t>
      </w:r>
      <w:r w:rsidR="00510030">
        <w:t>The grant totalled £614</w:t>
      </w:r>
      <w:r w:rsidR="00285F08">
        <w:t xml:space="preserve"> </w:t>
      </w:r>
      <w:r w:rsidR="00510030">
        <w:t>million.</w:t>
      </w:r>
    </w:p>
    <w:p w14:paraId="350EB2F1" w14:textId="77777777" w:rsidR="008C4A8D" w:rsidRDefault="008C4A8D" w:rsidP="008C4A8D">
      <w:pPr>
        <w:pStyle w:val="ListParagraph"/>
        <w:numPr>
          <w:ilvl w:val="0"/>
          <w:numId w:val="0"/>
        </w:numPr>
        <w:ind w:left="360"/>
      </w:pPr>
    </w:p>
    <w:p w14:paraId="7D0D9D21" w14:textId="77777777" w:rsidR="008C4A8D" w:rsidRPr="008C4A8D" w:rsidRDefault="00510030" w:rsidP="008C4A8D">
      <w:pPr>
        <w:pStyle w:val="ListParagraph"/>
        <w:numPr>
          <w:ilvl w:val="1"/>
          <w:numId w:val="17"/>
        </w:numPr>
        <w:spacing w:after="0" w:line="240" w:lineRule="auto"/>
        <w:rPr>
          <w:rFonts w:eastAsia="Times New Roman" w:cs="Arial"/>
          <w:lang w:eastAsia="en-GB"/>
        </w:rPr>
      </w:pPr>
      <w:r>
        <w:t>The grant peaked a few years back and has been steadily reducing each year. It was recently merged with some smaller grants into a 'Single Revenue Grant' (SRG) from the WG Environment Dept. Given the statutory targets, recycling services have effectively become a mandatory function and WLGA has argued for the waste element of the SRG to be put into the RSG.</w:t>
      </w:r>
      <w:r w:rsidR="00B038CF">
        <w:t xml:space="preserve"> </w:t>
      </w:r>
      <w:r>
        <w:t>This has now happened.</w:t>
      </w:r>
    </w:p>
    <w:p w14:paraId="791BA42F" w14:textId="77777777" w:rsidR="008C4A8D" w:rsidRDefault="008C4A8D" w:rsidP="008C4A8D">
      <w:pPr>
        <w:pStyle w:val="ListParagraph"/>
        <w:numPr>
          <w:ilvl w:val="0"/>
          <w:numId w:val="0"/>
        </w:numPr>
        <w:ind w:left="360"/>
      </w:pPr>
    </w:p>
    <w:p w14:paraId="34DD4B52" w14:textId="77777777" w:rsidR="008C4A8D" w:rsidRPr="008C4A8D" w:rsidRDefault="00B41A70" w:rsidP="008C4A8D">
      <w:pPr>
        <w:pStyle w:val="ListParagraph"/>
        <w:numPr>
          <w:ilvl w:val="1"/>
          <w:numId w:val="17"/>
        </w:numPr>
        <w:spacing w:after="0" w:line="240" w:lineRule="auto"/>
        <w:rPr>
          <w:rFonts w:eastAsia="Times New Roman" w:cs="Arial"/>
          <w:lang w:eastAsia="en-GB"/>
        </w:rPr>
      </w:pPr>
      <w:r>
        <w:t xml:space="preserve">WG also introduced the Waste (Wales) Measure (see the 'Waste Targets' section of the legislation: </w:t>
      </w:r>
      <w:hyperlink r:id="rId15" w:history="1">
        <w:r>
          <w:rPr>
            <w:rStyle w:val="Hyperlink"/>
          </w:rPr>
          <w:t>http://www.legislation.gov.uk/mwa/2010/8/contents/enacted</w:t>
        </w:r>
      </w:hyperlink>
      <w:r>
        <w:t xml:space="preserve">) which established statutory recycling targets with provision for penalties. Although no </w:t>
      </w:r>
      <w:r>
        <w:lastRenderedPageBreak/>
        <w:t xml:space="preserve">penalties have been issued to date the threat of them has been powerful in encouraging LAs to make changes. </w:t>
      </w:r>
    </w:p>
    <w:p w14:paraId="01C35844" w14:textId="77777777" w:rsidR="008C4A8D" w:rsidRDefault="008C4A8D" w:rsidP="008C4A8D">
      <w:pPr>
        <w:pStyle w:val="ListParagraph"/>
        <w:numPr>
          <w:ilvl w:val="0"/>
          <w:numId w:val="0"/>
        </w:numPr>
        <w:ind w:left="360"/>
      </w:pPr>
    </w:p>
    <w:p w14:paraId="3A2776C3" w14:textId="77777777" w:rsidR="008C4A8D" w:rsidRPr="008C4A8D" w:rsidRDefault="00B41A70" w:rsidP="008C4A8D">
      <w:pPr>
        <w:pStyle w:val="ListParagraph"/>
        <w:numPr>
          <w:ilvl w:val="1"/>
          <w:numId w:val="17"/>
        </w:numPr>
        <w:spacing w:after="0" w:line="240" w:lineRule="auto"/>
        <w:rPr>
          <w:rFonts w:eastAsia="Times New Roman" w:cs="Arial"/>
          <w:lang w:eastAsia="en-GB"/>
        </w:rPr>
      </w:pPr>
      <w:r>
        <w:t>WG favour the kerbside sort a</w:t>
      </w:r>
      <w:r w:rsidR="00510030">
        <w:t xml:space="preserve">pproach and issued a blueprint </w:t>
      </w:r>
      <w:hyperlink r:id="rId16" w:history="1">
        <w:r>
          <w:rPr>
            <w:rStyle w:val="Hyperlink"/>
          </w:rPr>
          <w:t>http://gov.wales/topics/environmentcountryside/epq/waste_recycling/publication/municipalsectorplan/?lang=en</w:t>
        </w:r>
      </w:hyperlink>
      <w:r>
        <w:t xml:space="preserve"> . They argue that separate collection will ensure a clean stream of materials that can support development of a circular economy in Wales. </w:t>
      </w:r>
      <w:r w:rsidR="00510030">
        <w:t>WLGA have</w:t>
      </w:r>
      <w:r>
        <w:t xml:space="preserve"> argued against the blueprint being a requirement and that LAs should be allowed to make their own decisions. Welsh Gov</w:t>
      </w:r>
      <w:r w:rsidR="00510030">
        <w:t>ernmen</w:t>
      </w:r>
      <w:r>
        <w:t>t has provided substantial financial assistance via capital grants to help LAs convert to their blueprint system. Some LAs, whilst complying with some elements of the blueprint, wish to continue with commingled collections.</w:t>
      </w:r>
    </w:p>
    <w:p w14:paraId="0EC1C30A" w14:textId="77777777" w:rsidR="008C4A8D" w:rsidRPr="008C4A8D" w:rsidRDefault="008C4A8D" w:rsidP="008C4A8D">
      <w:pPr>
        <w:pStyle w:val="ListParagraph"/>
        <w:numPr>
          <w:ilvl w:val="0"/>
          <w:numId w:val="0"/>
        </w:numPr>
        <w:ind w:left="360"/>
        <w:rPr>
          <w:rFonts w:eastAsia="Times New Roman"/>
        </w:rPr>
      </w:pPr>
    </w:p>
    <w:p w14:paraId="1FFBD512" w14:textId="77777777" w:rsidR="008C4A8D" w:rsidRPr="008C4A8D" w:rsidRDefault="001E2FFE" w:rsidP="008C4A8D">
      <w:pPr>
        <w:pStyle w:val="ListParagraph"/>
        <w:numPr>
          <w:ilvl w:val="1"/>
          <w:numId w:val="17"/>
        </w:numPr>
        <w:spacing w:after="0" w:line="240" w:lineRule="auto"/>
        <w:rPr>
          <w:rFonts w:eastAsia="Times New Roman" w:cs="Arial"/>
          <w:lang w:eastAsia="en-GB"/>
        </w:rPr>
      </w:pPr>
      <w:r w:rsidRPr="008C4A8D">
        <w:rPr>
          <w:rFonts w:eastAsia="Times New Roman"/>
        </w:rPr>
        <w:t>Other smaller initiatives which have also helped include:</w:t>
      </w:r>
    </w:p>
    <w:p w14:paraId="7450FBE9" w14:textId="77777777" w:rsidR="008C4A8D" w:rsidRDefault="001E2FFE" w:rsidP="008C4A8D">
      <w:pPr>
        <w:pStyle w:val="ListParagraph"/>
        <w:numPr>
          <w:ilvl w:val="0"/>
          <w:numId w:val="0"/>
        </w:numPr>
        <w:spacing w:after="0" w:line="240" w:lineRule="auto"/>
        <w:ind w:left="792"/>
        <w:rPr>
          <w:rFonts w:eastAsia="Times New Roman"/>
        </w:rPr>
      </w:pPr>
      <w:r w:rsidRPr="008C4A8D">
        <w:rPr>
          <w:rFonts w:eastAsia="Times New Roman"/>
        </w:rPr>
        <w:br/>
      </w:r>
      <w:r w:rsidRPr="008C4A8D">
        <w:rPr>
          <w:rFonts w:eastAsia="Times New Roman"/>
          <w:u w:val="single"/>
        </w:rPr>
        <w:t>Collaborative Change Programme</w:t>
      </w:r>
      <w:r w:rsidRPr="008C4A8D">
        <w:rPr>
          <w:rFonts w:eastAsia="Times New Roman"/>
        </w:rPr>
        <w:t xml:space="preserve">: a joint endeavour with WG, WRAP and WLGA which seeks to provide practical support to LA's especially in reviewing their services and optimising their impact. This includes communication/behaviour change support. There is also a small capital support programme which sits within this to encourage invest to save type changes. </w:t>
      </w:r>
    </w:p>
    <w:p w14:paraId="780204EC" w14:textId="77777777" w:rsidR="008C4A8D" w:rsidRDefault="001E2FFE" w:rsidP="008C4A8D">
      <w:pPr>
        <w:pStyle w:val="ListParagraph"/>
        <w:numPr>
          <w:ilvl w:val="0"/>
          <w:numId w:val="0"/>
        </w:numPr>
        <w:spacing w:after="0" w:line="240" w:lineRule="auto"/>
        <w:ind w:left="792"/>
        <w:rPr>
          <w:rFonts w:eastAsia="Times New Roman"/>
        </w:rPr>
      </w:pPr>
      <w:r w:rsidRPr="008C4A8D">
        <w:rPr>
          <w:rFonts w:eastAsia="Times New Roman"/>
        </w:rPr>
        <w:br/>
      </w:r>
      <w:r w:rsidRPr="008C4A8D">
        <w:rPr>
          <w:rFonts w:eastAsia="Times New Roman"/>
          <w:u w:val="single"/>
        </w:rPr>
        <w:t>The Waste Improvement Programme</w:t>
      </w:r>
      <w:r w:rsidRPr="008C4A8D">
        <w:rPr>
          <w:rFonts w:eastAsia="Times New Roman"/>
        </w:rPr>
        <w:t xml:space="preserve"> is a WLGA programme of benchmarking support which allows a detailed review of services and costs to help LA's identify areas for improvement and development. The benchmarking process identifies recommendations that the Wales Audit Office endorse and have to be reported on by LA's to the Ministerial Programme Board each year. These recommendations are key service improvement areas which the benchmarking has identified. The raw data is available to LA's through the Local Government Data Unit portal where they can forensically examine the data and performance and determine key areas for improvement.</w:t>
      </w:r>
    </w:p>
    <w:p w14:paraId="197ABCFA" w14:textId="0083DA8F" w:rsidR="001E2FFE" w:rsidRPr="008C4A8D" w:rsidRDefault="001E2FFE" w:rsidP="008C4A8D">
      <w:pPr>
        <w:pStyle w:val="ListParagraph"/>
        <w:numPr>
          <w:ilvl w:val="0"/>
          <w:numId w:val="0"/>
        </w:numPr>
        <w:spacing w:after="0" w:line="240" w:lineRule="auto"/>
        <w:ind w:left="792"/>
        <w:rPr>
          <w:rFonts w:eastAsia="Times New Roman" w:cs="Arial"/>
          <w:lang w:eastAsia="en-GB"/>
        </w:rPr>
      </w:pPr>
      <w:r w:rsidRPr="008C4A8D">
        <w:rPr>
          <w:rFonts w:eastAsia="Times New Roman"/>
        </w:rPr>
        <w:br/>
      </w:r>
      <w:r w:rsidRPr="008C4A8D">
        <w:rPr>
          <w:rFonts w:eastAsia="Times New Roman"/>
          <w:u w:val="single"/>
        </w:rPr>
        <w:t>Residual restrictions</w:t>
      </w:r>
      <w:r w:rsidRPr="008C4A8D">
        <w:rPr>
          <w:rFonts w:eastAsia="Times New Roman"/>
        </w:rPr>
        <w:t xml:space="preserve"> have also helped improve recycling levels by encouraging behaviour change. All Welsh LA's are at least fortnightly for residual, many have also reduced bin sizes and some are three weekly with a four weekly trial ongoing.</w:t>
      </w:r>
    </w:p>
    <w:p w14:paraId="640ADC95" w14:textId="77777777" w:rsidR="008C4A8D" w:rsidRDefault="008C4A8D" w:rsidP="008C4A8D">
      <w:pPr>
        <w:spacing w:after="0" w:line="240" w:lineRule="auto"/>
        <w:ind w:left="0" w:firstLine="0"/>
      </w:pPr>
    </w:p>
    <w:p w14:paraId="754BAE56" w14:textId="57331992" w:rsidR="009B6F95" w:rsidRPr="008C4A8D" w:rsidRDefault="001E2FFE" w:rsidP="008C4A8D">
      <w:pPr>
        <w:pStyle w:val="ListParagraph"/>
        <w:numPr>
          <w:ilvl w:val="1"/>
          <w:numId w:val="17"/>
        </w:numPr>
        <w:spacing w:after="0" w:line="240" w:lineRule="auto"/>
        <w:rPr>
          <w:rFonts w:eastAsia="Times New Roman" w:cs="Arial"/>
          <w:lang w:eastAsia="en-GB"/>
        </w:rPr>
      </w:pPr>
      <w:r w:rsidRPr="008C4A8D">
        <w:rPr>
          <w:rFonts w:eastAsia="Times New Roman"/>
        </w:rPr>
        <w:t>Finally, it is worth noting that Wales is dealing w</w:t>
      </w:r>
      <w:r w:rsidR="00F16AD7" w:rsidRPr="008C4A8D">
        <w:rPr>
          <w:rFonts w:eastAsia="Times New Roman"/>
        </w:rPr>
        <w:t>ith a significantly lower tonnage</w:t>
      </w:r>
      <w:r w:rsidR="008C4A8D">
        <w:rPr>
          <w:rFonts w:eastAsia="Times New Roman"/>
        </w:rPr>
        <w:t xml:space="preserve"> of waste on an annual basis.</w:t>
      </w:r>
    </w:p>
    <w:sectPr w:rsidR="009B6F95" w:rsidRPr="008C4A8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FD80" w14:textId="77777777" w:rsidR="009125B9" w:rsidRPr="00C803F3" w:rsidRDefault="009125B9" w:rsidP="00C803F3">
      <w:r>
        <w:separator/>
      </w:r>
    </w:p>
  </w:endnote>
  <w:endnote w:type="continuationSeparator" w:id="0">
    <w:p w14:paraId="345422E7" w14:textId="77777777" w:rsidR="009125B9" w:rsidRPr="00C803F3" w:rsidRDefault="009125B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64385" w14:textId="77777777" w:rsidR="009125B9" w:rsidRPr="00C803F3" w:rsidRDefault="009125B9" w:rsidP="00C803F3">
      <w:r>
        <w:separator/>
      </w:r>
    </w:p>
  </w:footnote>
  <w:footnote w:type="continuationSeparator" w:id="0">
    <w:p w14:paraId="71DD23C1" w14:textId="77777777" w:rsidR="009125B9" w:rsidRPr="00C803F3" w:rsidRDefault="009125B9" w:rsidP="00C803F3">
      <w:r>
        <w:continuationSeparator/>
      </w:r>
    </w:p>
  </w:footnote>
  <w:footnote w:id="1">
    <w:p w14:paraId="6830A837" w14:textId="77777777" w:rsidR="009125B9" w:rsidRDefault="009125B9" w:rsidP="004E5FBE">
      <w:pPr>
        <w:pStyle w:val="FootnoteText"/>
      </w:pPr>
      <w:r>
        <w:rPr>
          <w:rStyle w:val="FootnoteReference"/>
          <w:rFonts w:eastAsiaTheme="minorHAnsi"/>
        </w:rPr>
        <w:footnoteRef/>
      </w:r>
      <w:r>
        <w:t xml:space="preserve"> EEA Waste Recycling report – December 2016</w:t>
      </w:r>
    </w:p>
  </w:footnote>
  <w:footnote w:id="2">
    <w:p w14:paraId="2DB228BD" w14:textId="77777777" w:rsidR="009125B9" w:rsidRDefault="009125B9">
      <w:pPr>
        <w:pStyle w:val="FootnoteText"/>
      </w:pPr>
      <w:r>
        <w:rPr>
          <w:rStyle w:val="FootnoteReference"/>
        </w:rPr>
        <w:footnoteRef/>
      </w:r>
      <w:r>
        <w:t xml:space="preserve"> UK Statistics on Waste, DEFRA – published 15</w:t>
      </w:r>
      <w:r w:rsidRPr="004A0815">
        <w:rPr>
          <w:vertAlign w:val="superscript"/>
        </w:rPr>
        <w:t>th</w:t>
      </w:r>
      <w:r>
        <w:t xml:space="preserve"> December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74E7" w14:textId="77777777" w:rsidR="009125B9" w:rsidRDefault="009125B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125B9" w:rsidRPr="00C25CA7" w14:paraId="0B273662" w14:textId="77777777" w:rsidTr="000F69FB">
      <w:trPr>
        <w:trHeight w:val="416"/>
      </w:trPr>
      <w:tc>
        <w:tcPr>
          <w:tcW w:w="5812" w:type="dxa"/>
          <w:vMerge w:val="restart"/>
        </w:tcPr>
        <w:p w14:paraId="257C795E" w14:textId="77777777" w:rsidR="009125B9" w:rsidRPr="00C803F3" w:rsidRDefault="009125B9" w:rsidP="00C803F3">
          <w:r w:rsidRPr="00C803F3">
            <w:rPr>
              <w:noProof/>
              <w:lang w:eastAsia="en-GB"/>
            </w:rPr>
            <w:drawing>
              <wp:inline distT="0" distB="0" distL="0" distR="0" wp14:anchorId="75F697BC" wp14:editId="1027F6B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Content>
          <w:tc>
            <w:tcPr>
              <w:tcW w:w="4106" w:type="dxa"/>
            </w:tcPr>
            <w:p w14:paraId="3348CE83" w14:textId="1655AA4C" w:rsidR="009125B9" w:rsidRPr="00C803F3" w:rsidRDefault="009125B9" w:rsidP="00213512">
              <w:pPr>
                <w:ind w:left="0" w:firstLine="0"/>
              </w:pPr>
              <w:r>
                <w:t>Environment, Economy, Housing and Transport Board</w:t>
              </w:r>
            </w:p>
          </w:tc>
        </w:sdtContent>
      </w:sdt>
    </w:tr>
    <w:tr w:rsidR="009125B9" w14:paraId="649CA98C" w14:textId="77777777" w:rsidTr="000F69FB">
      <w:trPr>
        <w:trHeight w:val="406"/>
      </w:trPr>
      <w:tc>
        <w:tcPr>
          <w:tcW w:w="5812" w:type="dxa"/>
          <w:vMerge/>
        </w:tcPr>
        <w:p w14:paraId="7A5E0951" w14:textId="77777777" w:rsidR="009125B9" w:rsidRPr="00A627DD" w:rsidRDefault="009125B9" w:rsidP="00C803F3"/>
      </w:tc>
      <w:tc>
        <w:tcPr>
          <w:tcW w:w="4106" w:type="dxa"/>
        </w:tcPr>
        <w:sdt>
          <w:sdtPr>
            <w:alias w:val="Date"/>
            <w:tag w:val="Date"/>
            <w:id w:val="-488943452"/>
            <w:placeholder>
              <w:docPart w:val="DC36D9B85A214F14AB68618A90760C36"/>
            </w:placeholder>
            <w:date w:fullDate="2017-12-14T00:00:00Z">
              <w:dateFormat w:val="dd MMMM yyyy"/>
              <w:lid w:val="en-GB"/>
              <w:storeMappedDataAs w:val="dateTime"/>
              <w:calendar w:val="gregorian"/>
            </w:date>
          </w:sdtPr>
          <w:sdtContent>
            <w:p w14:paraId="04985FB7" w14:textId="47FD7548" w:rsidR="009125B9" w:rsidRPr="00C803F3" w:rsidRDefault="009125B9" w:rsidP="00C803F3">
              <w:r>
                <w:t>14 December 2017</w:t>
              </w:r>
            </w:p>
          </w:sdtContent>
        </w:sdt>
      </w:tc>
    </w:tr>
  </w:tbl>
  <w:p w14:paraId="622FF430" w14:textId="77777777" w:rsidR="009125B9" w:rsidRDefault="00912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766"/>
    <w:multiLevelType w:val="hybridMultilevel"/>
    <w:tmpl w:val="E55A6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FC2070"/>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B650D6"/>
    <w:multiLevelType w:val="hybridMultilevel"/>
    <w:tmpl w:val="EEAE5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0463E"/>
    <w:multiLevelType w:val="multilevel"/>
    <w:tmpl w:val="9C40CA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3B228E"/>
    <w:multiLevelType w:val="hybridMultilevel"/>
    <w:tmpl w:val="BC407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934E06"/>
    <w:multiLevelType w:val="multilevel"/>
    <w:tmpl w:val="2430BA0A"/>
    <w:lvl w:ilvl="0">
      <w:start w:val="1"/>
      <w:numFmt w:val="decimal"/>
      <w:lvlText w:val="%1."/>
      <w:lvlJc w:val="left"/>
      <w:pPr>
        <w:ind w:left="360" w:hanging="360"/>
      </w:pPr>
      <w:rPr>
        <w:rFonts w:hint="default"/>
        <w:b w:val="0"/>
        <w:color w:val="auto"/>
        <w:sz w:val="22"/>
      </w:rPr>
    </w:lvl>
    <w:lvl w:ilvl="1">
      <w:start w:val="1"/>
      <w:numFmt w:val="decimal"/>
      <w:lvlText w:val="%1.%2."/>
      <w:lvlJc w:val="center"/>
      <w:pPr>
        <w:ind w:left="1021" w:hanging="661"/>
      </w:pPr>
      <w:rPr>
        <w:rFonts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851078"/>
    <w:multiLevelType w:val="hybridMultilevel"/>
    <w:tmpl w:val="ED9AB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D65492"/>
    <w:multiLevelType w:val="hybridMultilevel"/>
    <w:tmpl w:val="622A5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59642B"/>
    <w:multiLevelType w:val="hybridMultilevel"/>
    <w:tmpl w:val="47DE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307AAD"/>
    <w:multiLevelType w:val="hybridMultilevel"/>
    <w:tmpl w:val="073A8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EF06D1"/>
    <w:multiLevelType w:val="multilevel"/>
    <w:tmpl w:val="9C40CA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236ADB"/>
    <w:multiLevelType w:val="hybridMultilevel"/>
    <w:tmpl w:val="2C38D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0828EF"/>
    <w:multiLevelType w:val="hybridMultilevel"/>
    <w:tmpl w:val="0706B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0F377A"/>
    <w:multiLevelType w:val="multilevel"/>
    <w:tmpl w:val="BE30DF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1E1D28"/>
    <w:multiLevelType w:val="hybridMultilevel"/>
    <w:tmpl w:val="A23EA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6"/>
  </w:num>
  <w:num w:numId="6">
    <w:abstractNumId w:val="9"/>
  </w:num>
  <w:num w:numId="7">
    <w:abstractNumId w:val="13"/>
  </w:num>
  <w:num w:numId="8">
    <w:abstractNumId w:val="11"/>
  </w:num>
  <w:num w:numId="9">
    <w:abstractNumId w:val="10"/>
  </w:num>
  <w:num w:numId="10">
    <w:abstractNumId w:val="16"/>
  </w:num>
  <w:num w:numId="11">
    <w:abstractNumId w:val="14"/>
  </w:num>
  <w:num w:numId="12">
    <w:abstractNumId w:val="0"/>
  </w:num>
  <w:num w:numId="13">
    <w:abstractNumId w:val="2"/>
  </w:num>
  <w:num w:numId="14">
    <w:abstractNumId w:val="1"/>
  </w:num>
  <w:num w:numId="15">
    <w:abstractNumId w:val="1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C3807"/>
    <w:rsid w:val="000E7FEB"/>
    <w:rsid w:val="000F69FB"/>
    <w:rsid w:val="001A4057"/>
    <w:rsid w:val="001B36CE"/>
    <w:rsid w:val="001C58A0"/>
    <w:rsid w:val="001D172F"/>
    <w:rsid w:val="001D1F18"/>
    <w:rsid w:val="001D545D"/>
    <w:rsid w:val="001E2FFE"/>
    <w:rsid w:val="001F1DA3"/>
    <w:rsid w:val="001F35F9"/>
    <w:rsid w:val="00213512"/>
    <w:rsid w:val="002539E9"/>
    <w:rsid w:val="002715C7"/>
    <w:rsid w:val="00285F08"/>
    <w:rsid w:val="002B7239"/>
    <w:rsid w:val="002F7ACF"/>
    <w:rsid w:val="00301A51"/>
    <w:rsid w:val="00357A7D"/>
    <w:rsid w:val="00380502"/>
    <w:rsid w:val="003C70DB"/>
    <w:rsid w:val="003D10AE"/>
    <w:rsid w:val="003E48F3"/>
    <w:rsid w:val="0041482D"/>
    <w:rsid w:val="004230C1"/>
    <w:rsid w:val="00425C01"/>
    <w:rsid w:val="00496AEC"/>
    <w:rsid w:val="004A0815"/>
    <w:rsid w:val="004E5FBE"/>
    <w:rsid w:val="00510030"/>
    <w:rsid w:val="005F6BEF"/>
    <w:rsid w:val="00615C9C"/>
    <w:rsid w:val="00624233"/>
    <w:rsid w:val="00646273"/>
    <w:rsid w:val="006B0E42"/>
    <w:rsid w:val="006E4926"/>
    <w:rsid w:val="00712C86"/>
    <w:rsid w:val="007622BA"/>
    <w:rsid w:val="00774144"/>
    <w:rsid w:val="007816A2"/>
    <w:rsid w:val="00795C95"/>
    <w:rsid w:val="007A07A0"/>
    <w:rsid w:val="0080464E"/>
    <w:rsid w:val="0080661C"/>
    <w:rsid w:val="00891AE9"/>
    <w:rsid w:val="008C4A8D"/>
    <w:rsid w:val="008C563B"/>
    <w:rsid w:val="008F4001"/>
    <w:rsid w:val="008F609C"/>
    <w:rsid w:val="009125B9"/>
    <w:rsid w:val="00992661"/>
    <w:rsid w:val="009B02EB"/>
    <w:rsid w:val="009B03B6"/>
    <w:rsid w:val="009B1AA8"/>
    <w:rsid w:val="009B6F95"/>
    <w:rsid w:val="009E1528"/>
    <w:rsid w:val="00A13FB1"/>
    <w:rsid w:val="00A242F2"/>
    <w:rsid w:val="00AC006E"/>
    <w:rsid w:val="00B038CF"/>
    <w:rsid w:val="00B36E45"/>
    <w:rsid w:val="00B41A70"/>
    <w:rsid w:val="00B84F31"/>
    <w:rsid w:val="00C10FCF"/>
    <w:rsid w:val="00C42709"/>
    <w:rsid w:val="00C803F3"/>
    <w:rsid w:val="00C813EA"/>
    <w:rsid w:val="00D45B4D"/>
    <w:rsid w:val="00D54B7C"/>
    <w:rsid w:val="00D90288"/>
    <w:rsid w:val="00DA37D1"/>
    <w:rsid w:val="00DA7394"/>
    <w:rsid w:val="00E25D08"/>
    <w:rsid w:val="00E5188B"/>
    <w:rsid w:val="00E56250"/>
    <w:rsid w:val="00EB2A36"/>
    <w:rsid w:val="00F16AD7"/>
    <w:rsid w:val="00FE6C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296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FootnoteText">
    <w:name w:val="footnote text"/>
    <w:basedOn w:val="Normal"/>
    <w:link w:val="FootnoteTextChar"/>
    <w:uiPriority w:val="99"/>
    <w:semiHidden/>
    <w:unhideWhenUsed/>
    <w:rsid w:val="004E5FBE"/>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FootnoteTextChar">
    <w:name w:val="Footnote Text Char"/>
    <w:basedOn w:val="DefaultParagraphFont"/>
    <w:link w:val="FootnoteText"/>
    <w:uiPriority w:val="99"/>
    <w:semiHidden/>
    <w:rsid w:val="004E5FBE"/>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4E5FBE"/>
    <w:rPr>
      <w:vertAlign w:val="superscript"/>
    </w:rPr>
  </w:style>
  <w:style w:type="paragraph" w:customStyle="1" w:styleId="Default">
    <w:name w:val="Default"/>
    <w:rsid w:val="004A081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B41A70"/>
    <w:rPr>
      <w:color w:val="0000FF"/>
      <w:u w:val="single"/>
    </w:rPr>
  </w:style>
  <w:style w:type="paragraph" w:styleId="NormalWeb">
    <w:name w:val="Normal (Web)"/>
    <w:basedOn w:val="Normal"/>
    <w:uiPriority w:val="99"/>
    <w:semiHidden/>
    <w:unhideWhenUsed/>
    <w:rsid w:val="001D172F"/>
    <w:pPr>
      <w:spacing w:after="165" w:line="240" w:lineRule="auto"/>
      <w:ind w:left="0" w:firstLine="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0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8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7349">
      <w:bodyDiv w:val="1"/>
      <w:marLeft w:val="0"/>
      <w:marRight w:val="0"/>
      <w:marTop w:val="0"/>
      <w:marBottom w:val="0"/>
      <w:divBdr>
        <w:top w:val="none" w:sz="0" w:space="0" w:color="auto"/>
        <w:left w:val="none" w:sz="0" w:space="0" w:color="auto"/>
        <w:bottom w:val="none" w:sz="0" w:space="0" w:color="auto"/>
        <w:right w:val="none" w:sz="0" w:space="0" w:color="auto"/>
      </w:divBdr>
    </w:div>
    <w:div w:id="703019409">
      <w:bodyDiv w:val="1"/>
      <w:marLeft w:val="0"/>
      <w:marRight w:val="0"/>
      <w:marTop w:val="0"/>
      <w:marBottom w:val="0"/>
      <w:divBdr>
        <w:top w:val="none" w:sz="0" w:space="0" w:color="auto"/>
        <w:left w:val="none" w:sz="0" w:space="0" w:color="auto"/>
        <w:bottom w:val="none" w:sz="0" w:space="0" w:color="auto"/>
        <w:right w:val="none" w:sz="0" w:space="0" w:color="auto"/>
      </w:divBdr>
      <w:divsChild>
        <w:div w:id="485627326">
          <w:marLeft w:val="0"/>
          <w:marRight w:val="0"/>
          <w:marTop w:val="0"/>
          <w:marBottom w:val="0"/>
          <w:divBdr>
            <w:top w:val="none" w:sz="0" w:space="0" w:color="auto"/>
            <w:left w:val="none" w:sz="0" w:space="0" w:color="auto"/>
            <w:bottom w:val="none" w:sz="0" w:space="0" w:color="auto"/>
            <w:right w:val="none" w:sz="0" w:space="0" w:color="auto"/>
          </w:divBdr>
          <w:divsChild>
            <w:div w:id="1906839894">
              <w:marLeft w:val="0"/>
              <w:marRight w:val="0"/>
              <w:marTop w:val="0"/>
              <w:marBottom w:val="0"/>
              <w:divBdr>
                <w:top w:val="none" w:sz="0" w:space="0" w:color="auto"/>
                <w:left w:val="none" w:sz="0" w:space="0" w:color="auto"/>
                <w:bottom w:val="none" w:sz="0" w:space="0" w:color="auto"/>
                <w:right w:val="none" w:sz="0" w:space="0" w:color="auto"/>
              </w:divBdr>
              <w:divsChild>
                <w:div w:id="1160271454">
                  <w:marLeft w:val="0"/>
                  <w:marRight w:val="0"/>
                  <w:marTop w:val="0"/>
                  <w:marBottom w:val="0"/>
                  <w:divBdr>
                    <w:top w:val="none" w:sz="0" w:space="0" w:color="auto"/>
                    <w:left w:val="none" w:sz="0" w:space="0" w:color="auto"/>
                    <w:bottom w:val="none" w:sz="0" w:space="0" w:color="auto"/>
                    <w:right w:val="none" w:sz="0" w:space="0" w:color="auto"/>
                  </w:divBdr>
                  <w:divsChild>
                    <w:div w:id="266351334">
                      <w:marLeft w:val="0"/>
                      <w:marRight w:val="0"/>
                      <w:marTop w:val="0"/>
                      <w:marBottom w:val="0"/>
                      <w:divBdr>
                        <w:top w:val="none" w:sz="0" w:space="0" w:color="auto"/>
                        <w:left w:val="none" w:sz="0" w:space="0" w:color="auto"/>
                        <w:bottom w:val="none" w:sz="0" w:space="0" w:color="auto"/>
                        <w:right w:val="none" w:sz="0" w:space="0" w:color="auto"/>
                      </w:divBdr>
                      <w:divsChild>
                        <w:div w:id="1597589653">
                          <w:marLeft w:val="0"/>
                          <w:marRight w:val="0"/>
                          <w:marTop w:val="0"/>
                          <w:marBottom w:val="0"/>
                          <w:divBdr>
                            <w:top w:val="none" w:sz="0" w:space="0" w:color="auto"/>
                            <w:left w:val="none" w:sz="0" w:space="0" w:color="auto"/>
                            <w:bottom w:val="none" w:sz="0" w:space="0" w:color="auto"/>
                            <w:right w:val="none" w:sz="0" w:space="0" w:color="auto"/>
                          </w:divBdr>
                          <w:divsChild>
                            <w:div w:id="424424334">
                              <w:marLeft w:val="0"/>
                              <w:marRight w:val="0"/>
                              <w:marTop w:val="0"/>
                              <w:marBottom w:val="0"/>
                              <w:divBdr>
                                <w:top w:val="none" w:sz="0" w:space="0" w:color="auto"/>
                                <w:left w:val="none" w:sz="0" w:space="0" w:color="auto"/>
                                <w:bottom w:val="none" w:sz="0" w:space="0" w:color="auto"/>
                                <w:right w:val="none" w:sz="0" w:space="0" w:color="auto"/>
                              </w:divBdr>
                              <w:divsChild>
                                <w:div w:id="538906342">
                                  <w:marLeft w:val="-225"/>
                                  <w:marRight w:val="-225"/>
                                  <w:marTop w:val="0"/>
                                  <w:marBottom w:val="0"/>
                                  <w:divBdr>
                                    <w:top w:val="none" w:sz="0" w:space="0" w:color="auto"/>
                                    <w:left w:val="none" w:sz="0" w:space="0" w:color="auto"/>
                                    <w:bottom w:val="none" w:sz="0" w:space="0" w:color="auto"/>
                                    <w:right w:val="none" w:sz="0" w:space="0" w:color="auto"/>
                                  </w:divBdr>
                                  <w:divsChild>
                                    <w:div w:id="1424105001">
                                      <w:marLeft w:val="0"/>
                                      <w:marRight w:val="0"/>
                                      <w:marTop w:val="0"/>
                                      <w:marBottom w:val="0"/>
                                      <w:divBdr>
                                        <w:top w:val="none" w:sz="0" w:space="0" w:color="auto"/>
                                        <w:left w:val="none" w:sz="0" w:space="0" w:color="auto"/>
                                        <w:bottom w:val="none" w:sz="0" w:space="0" w:color="auto"/>
                                        <w:right w:val="none" w:sz="0" w:space="0" w:color="auto"/>
                                      </w:divBdr>
                                      <w:divsChild>
                                        <w:div w:id="1177185540">
                                          <w:marLeft w:val="0"/>
                                          <w:marRight w:val="0"/>
                                          <w:marTop w:val="0"/>
                                          <w:marBottom w:val="0"/>
                                          <w:divBdr>
                                            <w:top w:val="none" w:sz="0" w:space="0" w:color="auto"/>
                                            <w:left w:val="none" w:sz="0" w:space="0" w:color="auto"/>
                                            <w:bottom w:val="none" w:sz="0" w:space="0" w:color="auto"/>
                                            <w:right w:val="none" w:sz="0" w:space="0" w:color="auto"/>
                                          </w:divBdr>
                                          <w:divsChild>
                                            <w:div w:id="13230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156076">
      <w:bodyDiv w:val="1"/>
      <w:marLeft w:val="0"/>
      <w:marRight w:val="0"/>
      <w:marTop w:val="0"/>
      <w:marBottom w:val="0"/>
      <w:divBdr>
        <w:top w:val="none" w:sz="0" w:space="0" w:color="auto"/>
        <w:left w:val="none" w:sz="0" w:space="0" w:color="auto"/>
        <w:bottom w:val="none" w:sz="0" w:space="0" w:color="auto"/>
        <w:right w:val="none" w:sz="0" w:space="0" w:color="auto"/>
      </w:divBdr>
      <w:divsChild>
        <w:div w:id="961154611">
          <w:marLeft w:val="0"/>
          <w:marRight w:val="0"/>
          <w:marTop w:val="0"/>
          <w:marBottom w:val="0"/>
          <w:divBdr>
            <w:top w:val="none" w:sz="0" w:space="0" w:color="auto"/>
            <w:left w:val="none" w:sz="0" w:space="0" w:color="auto"/>
            <w:bottom w:val="none" w:sz="0" w:space="0" w:color="auto"/>
            <w:right w:val="none" w:sz="0" w:space="0" w:color="auto"/>
          </w:divBdr>
          <w:divsChild>
            <w:div w:id="951714017">
              <w:marLeft w:val="0"/>
              <w:marRight w:val="0"/>
              <w:marTop w:val="0"/>
              <w:marBottom w:val="0"/>
              <w:divBdr>
                <w:top w:val="none" w:sz="0" w:space="0" w:color="auto"/>
                <w:left w:val="none" w:sz="0" w:space="0" w:color="auto"/>
                <w:bottom w:val="none" w:sz="0" w:space="0" w:color="auto"/>
                <w:right w:val="none" w:sz="0" w:space="0" w:color="auto"/>
              </w:divBdr>
              <w:divsChild>
                <w:div w:id="456490137">
                  <w:marLeft w:val="0"/>
                  <w:marRight w:val="0"/>
                  <w:marTop w:val="0"/>
                  <w:marBottom w:val="0"/>
                  <w:divBdr>
                    <w:top w:val="none" w:sz="0" w:space="0" w:color="auto"/>
                    <w:left w:val="none" w:sz="0" w:space="0" w:color="auto"/>
                    <w:bottom w:val="none" w:sz="0" w:space="0" w:color="auto"/>
                    <w:right w:val="none" w:sz="0" w:space="0" w:color="auto"/>
                  </w:divBdr>
                  <w:divsChild>
                    <w:div w:id="2002342958">
                      <w:marLeft w:val="0"/>
                      <w:marRight w:val="0"/>
                      <w:marTop w:val="0"/>
                      <w:marBottom w:val="0"/>
                      <w:divBdr>
                        <w:top w:val="none" w:sz="0" w:space="0" w:color="auto"/>
                        <w:left w:val="none" w:sz="0" w:space="0" w:color="auto"/>
                        <w:bottom w:val="none" w:sz="0" w:space="0" w:color="auto"/>
                        <w:right w:val="none" w:sz="0" w:space="0" w:color="auto"/>
                      </w:divBdr>
                      <w:divsChild>
                        <w:div w:id="1344674227">
                          <w:marLeft w:val="0"/>
                          <w:marRight w:val="0"/>
                          <w:marTop w:val="0"/>
                          <w:marBottom w:val="0"/>
                          <w:divBdr>
                            <w:top w:val="none" w:sz="0" w:space="0" w:color="auto"/>
                            <w:left w:val="none" w:sz="0" w:space="0" w:color="auto"/>
                            <w:bottom w:val="none" w:sz="0" w:space="0" w:color="auto"/>
                            <w:right w:val="none" w:sz="0" w:space="0" w:color="auto"/>
                          </w:divBdr>
                          <w:divsChild>
                            <w:div w:id="1104568195">
                              <w:marLeft w:val="0"/>
                              <w:marRight w:val="0"/>
                              <w:marTop w:val="0"/>
                              <w:marBottom w:val="0"/>
                              <w:divBdr>
                                <w:top w:val="none" w:sz="0" w:space="0" w:color="auto"/>
                                <w:left w:val="none" w:sz="0" w:space="0" w:color="auto"/>
                                <w:bottom w:val="none" w:sz="0" w:space="0" w:color="auto"/>
                                <w:right w:val="none" w:sz="0" w:space="0" w:color="auto"/>
                              </w:divBdr>
                              <w:divsChild>
                                <w:div w:id="656686513">
                                  <w:marLeft w:val="-225"/>
                                  <w:marRight w:val="-225"/>
                                  <w:marTop w:val="0"/>
                                  <w:marBottom w:val="0"/>
                                  <w:divBdr>
                                    <w:top w:val="none" w:sz="0" w:space="0" w:color="auto"/>
                                    <w:left w:val="none" w:sz="0" w:space="0" w:color="auto"/>
                                    <w:bottom w:val="none" w:sz="0" w:space="0" w:color="auto"/>
                                    <w:right w:val="none" w:sz="0" w:space="0" w:color="auto"/>
                                  </w:divBdr>
                                  <w:divsChild>
                                    <w:div w:id="444732862">
                                      <w:marLeft w:val="0"/>
                                      <w:marRight w:val="0"/>
                                      <w:marTop w:val="0"/>
                                      <w:marBottom w:val="0"/>
                                      <w:divBdr>
                                        <w:top w:val="none" w:sz="0" w:space="0" w:color="auto"/>
                                        <w:left w:val="none" w:sz="0" w:space="0" w:color="auto"/>
                                        <w:bottom w:val="none" w:sz="0" w:space="0" w:color="auto"/>
                                        <w:right w:val="none" w:sz="0" w:space="0" w:color="auto"/>
                                      </w:divBdr>
                                      <w:divsChild>
                                        <w:div w:id="760679732">
                                          <w:marLeft w:val="0"/>
                                          <w:marRight w:val="0"/>
                                          <w:marTop w:val="0"/>
                                          <w:marBottom w:val="0"/>
                                          <w:divBdr>
                                            <w:top w:val="none" w:sz="0" w:space="0" w:color="auto"/>
                                            <w:left w:val="none" w:sz="0" w:space="0" w:color="auto"/>
                                            <w:bottom w:val="none" w:sz="0" w:space="0" w:color="auto"/>
                                            <w:right w:val="none" w:sz="0" w:space="0" w:color="auto"/>
                                          </w:divBdr>
                                          <w:divsChild>
                                            <w:div w:id="2216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Environmental_la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United_Kingd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tect-eu.mimecast.com/s/O2YLBS2bO7i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Natural_environment" TargetMode="External"/><Relationship Id="rId5" Type="http://schemas.openxmlformats.org/officeDocument/2006/relationships/numbering" Target="numbering.xml"/><Relationship Id="rId15" Type="http://schemas.openxmlformats.org/officeDocument/2006/relationships/hyperlink" Target="https://protect-eu.mimecast.com/s/MDJEBtQrG5Ta"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Climate_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84261E" w:rsidRDefault="004E2C7C" w:rsidP="004E2C7C">
          <w:pPr>
            <w:pStyle w:val="52C62D73F0FC42128968D36894ABCCA0"/>
          </w:pPr>
          <w:r w:rsidRPr="00FB1144">
            <w:rPr>
              <w:rStyle w:val="PlaceholderText"/>
            </w:rPr>
            <w:t>Click here to enter text.</w:t>
          </w:r>
        </w:p>
      </w:docPartBody>
    </w:docPart>
    <w:docPart>
      <w:docPartPr>
        <w:name w:val="520D8BB45BF6418A8C3E7A331CBB42D2"/>
        <w:category>
          <w:name w:val="General"/>
          <w:gallery w:val="placeholder"/>
        </w:category>
        <w:types>
          <w:type w:val="bbPlcHdr"/>
        </w:types>
        <w:behaviors>
          <w:behavior w:val="content"/>
        </w:behaviors>
        <w:guid w:val="{D8300CBE-F7BB-4E4D-B77D-37A666B8890F}"/>
      </w:docPartPr>
      <w:docPartBody>
        <w:p w:rsidR="002B40F4" w:rsidRDefault="002B40F4" w:rsidP="002B40F4">
          <w:pPr>
            <w:pStyle w:val="520D8BB45BF6418A8C3E7A331CBB42D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5256"/>
    <w:rsid w:val="001C79DF"/>
    <w:rsid w:val="002B40F4"/>
    <w:rsid w:val="002F1F5C"/>
    <w:rsid w:val="0034394C"/>
    <w:rsid w:val="004E2C7C"/>
    <w:rsid w:val="005B6FD8"/>
    <w:rsid w:val="006B4942"/>
    <w:rsid w:val="007B5F97"/>
    <w:rsid w:val="0084261E"/>
    <w:rsid w:val="009D264D"/>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0F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20D8BB45BF6418A8C3E7A331CBB42D2">
    <w:name w:val="520D8BB45BF6418A8C3E7A331CBB42D2"/>
    <w:rsid w:val="002B40F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3" ma:contentTypeDescription="Create a new document." ma:contentTypeScope="" ma:versionID="1e28cc2e6f91b103766d877583991b50">
  <xsd:schema xmlns:xsd="http://www.w3.org/2001/XMLSchema" xmlns:xs="http://www.w3.org/2001/XMLSchema" xmlns:p="http://schemas.microsoft.com/office/2006/metadata/properties" xmlns:ns2="ddd5460c-fd9a-4b2f-9b0a-4d83386095b6" xmlns:ns3="288eb580-5c08-4395-9779-7dd0261db240" targetNamespace="http://schemas.microsoft.com/office/2006/metadata/properties" ma:root="true" ma:fieldsID="1475d1ba16fb2c82863c806b4dccd600" ns2:_="" ns3:_="">
    <xsd:import namespace="ddd5460c-fd9a-4b2f-9b0a-4d83386095b6"/>
    <xsd:import namespace="288eb580-5c08-4395-9779-7dd0261db240"/>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www.w3.org/XML/1998/namespace"/>
    <ds:schemaRef ds:uri="http://schemas.microsoft.com/office/2006/documentManagement/types"/>
    <ds:schemaRef ds:uri="http://purl.org/dc/elements/1.1/"/>
    <ds:schemaRef ds:uri="288eb580-5c08-4395-9779-7dd0261db240"/>
    <ds:schemaRef ds:uri="http://purl.org/dc/terms/"/>
    <ds:schemaRef ds:uri="http://schemas.microsoft.com/office/infopath/2007/PartnerControls"/>
    <ds:schemaRef ds:uri="http://purl.org/dc/dcmitype/"/>
    <ds:schemaRef ds:uri="http://schemas.openxmlformats.org/package/2006/metadata/core-properties"/>
    <ds:schemaRef ds:uri="ddd5460c-fd9a-4b2f-9b0a-4d83386095b6"/>
    <ds:schemaRef ds:uri="http://schemas.microsoft.com/office/2006/metadata/properties"/>
  </ds:schemaRefs>
</ds:datastoreItem>
</file>

<file path=customXml/itemProps2.xml><?xml version="1.0" encoding="utf-8"?>
<ds:datastoreItem xmlns:ds="http://schemas.openxmlformats.org/officeDocument/2006/customXml" ds:itemID="{0A264ACE-6FD4-4B6A-B215-5754ED5BEF46}">
  <ds:schemaRefs>
    <ds:schemaRef ds:uri="http://schemas.microsoft.com/sharepoint/v3/contenttype/forms"/>
  </ds:schemaRefs>
</ds:datastoreItem>
</file>

<file path=customXml/itemProps3.xml><?xml version="1.0" encoding="utf-8"?>
<ds:datastoreItem xmlns:ds="http://schemas.openxmlformats.org/officeDocument/2006/customXml" ds:itemID="{249F58C8-A259-46BC-9FA8-61A9E855E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BE316-1BAE-4F95-975A-BECF258B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C7FDA39F</Template>
  <TotalTime>0</TotalTime>
  <Pages>7</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Harry Parker</cp:lastModifiedBy>
  <cp:revision>2</cp:revision>
  <dcterms:created xsi:type="dcterms:W3CDTF">2017-12-07T16:30:00Z</dcterms:created>
  <dcterms:modified xsi:type="dcterms:W3CDTF">2017-12-07T16:30:00Z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